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96A41">
      <w:pPr>
        <w:keepNext w:val="0"/>
        <w:keepLines w:val="0"/>
        <w:pageBreakBefore w:val="0"/>
        <w:kinsoku/>
        <w:wordWrap/>
        <w:overflowPunct/>
        <w:topLinePunct w:val="0"/>
        <w:bidi w:val="0"/>
        <w:snapToGrid/>
        <w:spacing w:line="630" w:lineRule="exact"/>
        <w:rPr>
          <w:rFonts w:hint="default" w:ascii="Times New Roman" w:hAnsi="Times New Roman" w:eastAsia="方正黑体_GBK" w:cs="Times New Roman"/>
          <w:bCs/>
          <w:color w:val="000000"/>
          <w:sz w:val="32"/>
          <w:szCs w:val="32"/>
        </w:rPr>
      </w:pPr>
      <w:r>
        <w:rPr>
          <w:rFonts w:hint="default" w:ascii="Times New Roman" w:hAnsi="Times New Roman" w:eastAsia="方正黑体_GBK" w:cs="Times New Roman"/>
          <w:bCs/>
          <w:color w:val="000000"/>
          <w:sz w:val="32"/>
          <w:szCs w:val="32"/>
        </w:rPr>
        <w:t>附件6</w:t>
      </w:r>
    </w:p>
    <w:p w14:paraId="01049443">
      <w:pPr>
        <w:pStyle w:val="2"/>
        <w:keepNext w:val="0"/>
        <w:keepLines w:val="0"/>
        <w:pageBreakBefore w:val="0"/>
        <w:kinsoku/>
        <w:wordWrap/>
        <w:overflowPunct/>
        <w:topLinePunct w:val="0"/>
        <w:bidi w:val="0"/>
        <w:adjustRightInd w:val="0"/>
        <w:snapToGrid/>
        <w:spacing w:line="630" w:lineRule="exact"/>
        <w:ind w:firstLine="640"/>
        <w:contextualSpacing/>
        <w:jc w:val="center"/>
        <w:rPr>
          <w:rFonts w:hint="default" w:ascii="Times New Roman" w:hAnsi="Times New Roman" w:eastAsia="方正仿宋_GBK" w:cs="Times New Roman"/>
          <w:b/>
          <w:bCs/>
          <w:color w:val="000000"/>
          <w:sz w:val="32"/>
          <w:szCs w:val="32"/>
        </w:rPr>
      </w:pPr>
    </w:p>
    <w:p w14:paraId="6BAC09AA">
      <w:pPr>
        <w:keepNext w:val="0"/>
        <w:keepLines w:val="0"/>
        <w:pageBreakBefore w:val="0"/>
        <w:kinsoku/>
        <w:wordWrap/>
        <w:overflowPunct/>
        <w:topLinePunct w:val="0"/>
        <w:bidi w:val="0"/>
        <w:adjustRightInd w:val="0"/>
        <w:snapToGrid/>
        <w:spacing w:line="630" w:lineRule="exact"/>
        <w:contextualSpacing/>
        <w:jc w:val="center"/>
        <w:rPr>
          <w:rFonts w:hint="default" w:ascii="Times New Roman" w:hAnsi="Times New Roman" w:eastAsia="方正小标宋_GBK" w:cs="Times New Roman"/>
          <w:b w:val="0"/>
          <w:bCs/>
          <w:color w:val="000000"/>
          <w:sz w:val="44"/>
          <w:szCs w:val="44"/>
        </w:rPr>
      </w:pPr>
      <w:r>
        <w:rPr>
          <w:rFonts w:hint="default" w:ascii="Times New Roman" w:hAnsi="Times New Roman" w:eastAsia="方正小标宋_GBK" w:cs="Times New Roman"/>
          <w:b w:val="0"/>
          <w:bCs/>
          <w:color w:val="000000"/>
          <w:sz w:val="44"/>
          <w:szCs w:val="44"/>
        </w:rPr>
        <w:t>农业防灾减灾和水利救灾资金（动物防疫</w:t>
      </w:r>
    </w:p>
    <w:p w14:paraId="246B4B74">
      <w:pPr>
        <w:keepNext w:val="0"/>
        <w:keepLines w:val="0"/>
        <w:pageBreakBefore w:val="0"/>
        <w:kinsoku/>
        <w:wordWrap/>
        <w:overflowPunct/>
        <w:topLinePunct w:val="0"/>
        <w:bidi w:val="0"/>
        <w:adjustRightInd w:val="0"/>
        <w:snapToGrid/>
        <w:spacing w:line="630" w:lineRule="exact"/>
        <w:contextualSpacing/>
        <w:jc w:val="center"/>
        <w:rPr>
          <w:rFonts w:hint="default" w:ascii="Times New Roman" w:hAnsi="Times New Roman" w:eastAsia="方正小标宋_GBK" w:cs="Times New Roman"/>
          <w:b w:val="0"/>
          <w:bCs/>
          <w:color w:val="000000"/>
          <w:sz w:val="44"/>
          <w:szCs w:val="44"/>
        </w:rPr>
      </w:pPr>
      <w:r>
        <w:rPr>
          <w:rFonts w:hint="default" w:ascii="Times New Roman" w:hAnsi="Times New Roman" w:eastAsia="方正小标宋_GBK" w:cs="Times New Roman"/>
          <w:b w:val="0"/>
          <w:bCs/>
          <w:color w:val="000000"/>
          <w:sz w:val="44"/>
          <w:szCs w:val="44"/>
        </w:rPr>
        <w:t>方向）项目实施</w:t>
      </w:r>
      <w:r>
        <w:rPr>
          <w:rFonts w:hint="default" w:ascii="Times New Roman" w:hAnsi="Times New Roman" w:eastAsia="方正小标宋_GBK" w:cs="Times New Roman"/>
          <w:b w:val="0"/>
          <w:bCs/>
          <w:color w:val="000000"/>
          <w:sz w:val="44"/>
          <w:szCs w:val="44"/>
          <w:lang w:eastAsia="zh-CN"/>
        </w:rPr>
        <w:t>方案</w:t>
      </w:r>
    </w:p>
    <w:p w14:paraId="07181634">
      <w:pPr>
        <w:pStyle w:val="2"/>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仿宋_GBK" w:cs="Times New Roman"/>
          <w:color w:val="000000"/>
          <w:sz w:val="32"/>
          <w:szCs w:val="32"/>
        </w:rPr>
      </w:pPr>
    </w:p>
    <w:p w14:paraId="6ACCBB57">
      <w:pPr>
        <w:pStyle w:val="5"/>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hint="default" w:ascii="Times New Roman" w:hAnsi="Times New Roman" w:eastAsia="方正黑体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总体按照《云南省农业防灾减灾和水利救灾资金管理实施细则》实施，强化重大动物疫病和重点人畜共患病防控。</w:t>
      </w:r>
      <w:r>
        <w:rPr>
          <w:rFonts w:hint="default" w:ascii="Times New Roman" w:hAnsi="Times New Roman" w:eastAsia="方正仿宋_GBK" w:cs="Times New Roman"/>
          <w:color w:val="000000"/>
          <w:sz w:val="32"/>
          <w:szCs w:val="32"/>
          <w:highlight w:val="none"/>
        </w:rPr>
        <w:br w:type="textWrapping"/>
      </w:r>
      <w:r>
        <w:rPr>
          <w:rFonts w:hint="default" w:ascii="Times New Roman" w:hAnsi="Times New Roman" w:eastAsia="方正仿宋_GBK" w:cs="Times New Roman"/>
          <w:color w:val="000000"/>
          <w:sz w:val="32"/>
          <w:szCs w:val="32"/>
          <w:highlight w:val="none"/>
          <w:lang w:eastAsia="zh-CN"/>
        </w:rPr>
        <w:t>　　</w:t>
      </w:r>
      <w:r>
        <w:rPr>
          <w:rFonts w:hint="default" w:ascii="Times New Roman" w:hAnsi="Times New Roman" w:eastAsia="方正黑体_GBK" w:cs="Times New Roman"/>
          <w:color w:val="000000"/>
          <w:sz w:val="32"/>
          <w:szCs w:val="32"/>
          <w:highlight w:val="none"/>
        </w:rPr>
        <w:t>一、强制免疫</w:t>
      </w:r>
    </w:p>
    <w:p w14:paraId="09CC9FEB">
      <w:pPr>
        <w:pStyle w:val="5"/>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主要用于开展全省口蹄疫、高致病性禽流感、H7N9流感、小反刍兽疫、布病、包虫病等国家重点动物疫病强制免疫疫苗（驱虫药物）采购、储存、注射（投喂），免疫效果监测评价、疫病监测和净化、人员防护等相关防控措施，以及实施强制免疫计划、购买防疫服务等。各州（市）、县（市、区）要进一步调整优化</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先打后补</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补助方式，简化补助资金申请程序和材料要求。力争到2025年年底前，规模养殖场全面实施</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先打后补</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；对牧区、山区等暂不符合</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先打后补</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条件的养殖场（户），强制免疫实行州（市）集中采购，探索以政府购买服务的形式实施强制免疫。</w:t>
      </w:r>
      <w:r>
        <w:rPr>
          <w:rFonts w:hint="default" w:ascii="Times New Roman" w:hAnsi="Times New Roman" w:eastAsia="方正仿宋_GBK" w:cs="Times New Roman"/>
          <w:color w:val="000000"/>
          <w:sz w:val="32"/>
          <w:szCs w:val="32"/>
          <w:highlight w:val="none"/>
        </w:rPr>
        <w:br w:type="textWrapping"/>
      </w:r>
      <w:r>
        <w:rPr>
          <w:rFonts w:hint="default" w:ascii="Times New Roman" w:hAnsi="Times New Roman" w:eastAsia="方正仿宋_GBK" w:cs="Times New Roman"/>
          <w:color w:val="000000"/>
          <w:sz w:val="32"/>
          <w:szCs w:val="32"/>
          <w:highlight w:val="none"/>
          <w:lang w:eastAsia="zh-CN"/>
        </w:rPr>
        <w:t>　　</w:t>
      </w:r>
      <w:r>
        <w:rPr>
          <w:rFonts w:hint="default" w:ascii="Times New Roman" w:hAnsi="Times New Roman" w:eastAsia="方正黑体_GBK" w:cs="Times New Roman"/>
          <w:color w:val="000000"/>
          <w:sz w:val="32"/>
          <w:szCs w:val="32"/>
          <w:highlight w:val="none"/>
        </w:rPr>
        <w:t>二、强制扑杀补助</w:t>
      </w:r>
    </w:p>
    <w:p w14:paraId="27CFE347">
      <w:pPr>
        <w:pStyle w:val="5"/>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主要用于预防、控制和扑灭国家重点动物疫病过程中，被强制扑杀动物和农业农村部门组织实施销毁的动物产品和相关物品的所有者给予补偿。纳入强制扑杀中央财政补助范围的疫病种类，畜种，补助经费的测算，按照</w:t>
      </w:r>
      <w:bookmarkStart w:id="0" w:name="OLE_LINK19"/>
      <w:r>
        <w:rPr>
          <w:rFonts w:hint="default" w:ascii="Times New Roman" w:hAnsi="Times New Roman" w:eastAsia="方正仿宋_GBK" w:cs="Times New Roman"/>
          <w:color w:val="000000"/>
          <w:sz w:val="32"/>
          <w:szCs w:val="32"/>
          <w:highlight w:val="none"/>
        </w:rPr>
        <w:t>《</w:t>
      </w:r>
      <w:bookmarkStart w:id="1" w:name="OLE_LINK18"/>
      <w:r>
        <w:rPr>
          <w:rFonts w:hint="default" w:ascii="Times New Roman" w:hAnsi="Times New Roman" w:eastAsia="方正仿宋_GBK" w:cs="Times New Roman"/>
          <w:color w:val="000000"/>
          <w:sz w:val="32"/>
          <w:szCs w:val="32"/>
          <w:highlight w:val="none"/>
        </w:rPr>
        <w:t>农业</w:t>
      </w:r>
      <w:r>
        <w:rPr>
          <w:rFonts w:hint="default" w:ascii="Times New Roman" w:hAnsi="Times New Roman" w:eastAsia="方正仿宋_GBK" w:cs="Times New Roman"/>
          <w:color w:val="000000"/>
          <w:sz w:val="32"/>
          <w:szCs w:val="32"/>
          <w:highlight w:val="none"/>
          <w:lang w:val="en-US" w:eastAsia="zh-CN"/>
        </w:rPr>
        <w:t>农村</w:t>
      </w:r>
      <w:r>
        <w:rPr>
          <w:rFonts w:hint="default" w:ascii="Times New Roman" w:hAnsi="Times New Roman" w:eastAsia="方正仿宋_GBK" w:cs="Times New Roman"/>
          <w:color w:val="000000"/>
          <w:sz w:val="32"/>
          <w:szCs w:val="32"/>
          <w:highlight w:val="none"/>
        </w:rPr>
        <w:t>部办公厅 财政部办公厅关于印发</w:t>
      </w:r>
      <w:r>
        <w:rPr>
          <w:rFonts w:hint="eastAsia" w:ascii="Times New Roman" w:hAnsi="Times New Roman" w:eastAsia="方正仿宋_GBK" w:cs="Times New Roman"/>
          <w:color w:val="000000"/>
          <w:sz w:val="32"/>
          <w:szCs w:val="32"/>
          <w:highlight w:val="none"/>
          <w:lang w:val="en-US" w:eastAsia="zh-CN"/>
        </w:rPr>
        <w:t>〈</w:t>
      </w:r>
      <w:r>
        <w:rPr>
          <w:rFonts w:hint="default" w:ascii="Times New Roman" w:hAnsi="Times New Roman" w:eastAsia="方正仿宋_GBK" w:cs="Times New Roman"/>
          <w:color w:val="000000"/>
          <w:sz w:val="32"/>
          <w:szCs w:val="32"/>
          <w:highlight w:val="none"/>
        </w:rPr>
        <w:t>动物疫病防控财政支持政策实施指导意见</w:t>
      </w:r>
      <w:r>
        <w:rPr>
          <w:rFonts w:hint="eastAsia" w:ascii="Times New Roman" w:hAnsi="Times New Roman" w:eastAsia="方正仿宋_GBK" w:cs="Times New Roman"/>
          <w:color w:val="000000"/>
          <w:sz w:val="32"/>
          <w:szCs w:val="32"/>
          <w:highlight w:val="none"/>
          <w:lang w:val="en-US" w:eastAsia="zh-CN"/>
        </w:rPr>
        <w:t>〉</w:t>
      </w:r>
      <w:r>
        <w:rPr>
          <w:rFonts w:hint="default" w:ascii="Times New Roman" w:hAnsi="Times New Roman" w:eastAsia="方正仿宋_GBK" w:cs="Times New Roman"/>
          <w:color w:val="000000"/>
          <w:sz w:val="32"/>
          <w:szCs w:val="32"/>
          <w:highlight w:val="none"/>
        </w:rPr>
        <w:t>的通知</w:t>
      </w:r>
      <w:bookmarkEnd w:id="1"/>
      <w:r>
        <w:rPr>
          <w:rFonts w:hint="default" w:ascii="Times New Roman" w:hAnsi="Times New Roman" w:eastAsia="方正仿宋_GBK" w:cs="Times New Roman"/>
          <w:color w:val="000000"/>
          <w:sz w:val="32"/>
          <w:szCs w:val="32"/>
          <w:highlight w:val="none"/>
        </w:rPr>
        <w:t>》</w:t>
      </w:r>
      <w:bookmarkEnd w:id="0"/>
      <w:r>
        <w:rPr>
          <w:rFonts w:hint="eastAsia" w:ascii="Times New Roman" w:hAnsi="Times New Roman" w:eastAsia="方正仿宋_GBK" w:cs="Times New Roman"/>
          <w:color w:val="000000"/>
          <w:sz w:val="32"/>
          <w:szCs w:val="32"/>
          <w:highlight w:val="none"/>
          <w:lang w:eastAsia="zh-CN"/>
        </w:rPr>
        <w:t>（</w:t>
      </w:r>
      <w:r>
        <w:rPr>
          <w:rFonts w:hint="eastAsia" w:ascii="Times New Roman" w:hAnsi="Times New Roman" w:eastAsia="方正仿宋_GBK" w:cs="Times New Roman"/>
          <w:color w:val="000000"/>
          <w:sz w:val="32"/>
          <w:szCs w:val="32"/>
          <w:highlight w:val="none"/>
          <w:lang w:val="en-US" w:eastAsia="zh-CN"/>
        </w:rPr>
        <w:t>农办财〔2017〕35号</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规定的补助标准执行。纳入强制扑杀中央财政补助范围的疫病种类包括非洲猪瘟、口蹄疫、高致病性禽流感、H7N9流感、小反刍兽疫、布病、结核病、包虫病、马鼻疽和马传贫等。强制扑杀补助经费由中央财政和地方财政共同承担。扑杀补助标准为禽15元/羽、猪1200元/头（非洲猪瘟）、猪800元/头、奶牛6000元/头、肉牛3000元/头、羊500元/只、马12000元/匹，其他畜禽补助测算标准参照执行。</w:t>
      </w:r>
      <w:r>
        <w:rPr>
          <w:rFonts w:hint="default" w:ascii="Times New Roman" w:hAnsi="Times New Roman" w:eastAsia="方正仿宋_GBK" w:cs="Times New Roman"/>
          <w:color w:val="000000"/>
          <w:sz w:val="32"/>
          <w:szCs w:val="32"/>
          <w:highlight w:val="none"/>
        </w:rPr>
        <w:br w:type="textWrapping"/>
      </w:r>
      <w:r>
        <w:rPr>
          <w:rFonts w:hint="default" w:ascii="Times New Roman" w:hAnsi="Times New Roman" w:eastAsia="方正仿宋_GBK" w:cs="Times New Roman"/>
          <w:color w:val="000000"/>
          <w:sz w:val="32"/>
          <w:szCs w:val="32"/>
          <w:highlight w:val="none"/>
          <w:lang w:eastAsia="zh-CN"/>
        </w:rPr>
        <w:t>　　</w:t>
      </w:r>
      <w:r>
        <w:rPr>
          <w:rFonts w:hint="default" w:ascii="Times New Roman" w:hAnsi="Times New Roman" w:eastAsia="方正黑体_GBK" w:cs="Times New Roman"/>
          <w:color w:val="000000"/>
          <w:sz w:val="32"/>
          <w:szCs w:val="32"/>
          <w:highlight w:val="none"/>
        </w:rPr>
        <w:t>三、养殖环节无害化处理</w:t>
      </w:r>
    </w:p>
    <w:p w14:paraId="1DD85579">
      <w:pPr>
        <w:keepNext w:val="0"/>
        <w:keepLines w:val="0"/>
        <w:pageBreakBefore w:val="0"/>
        <w:widowControl w:val="0"/>
        <w:kinsoku/>
        <w:wordWrap/>
        <w:overflowPunct/>
        <w:topLinePunct w:val="0"/>
        <w:bidi w:val="0"/>
        <w:snapToGrid/>
        <w:spacing w:line="620" w:lineRule="exact"/>
        <w:ind w:firstLine="640" w:firstLineChars="200"/>
        <w:textAlignment w:val="auto"/>
        <w:rPr>
          <w:rFonts w:hint="default"/>
        </w:rPr>
      </w:pPr>
      <w:r>
        <w:rPr>
          <w:rFonts w:hint="default" w:ascii="Times New Roman" w:hAnsi="Times New Roman" w:eastAsia="方正仿宋_GBK" w:cs="Times New Roman"/>
          <w:color w:val="000000"/>
          <w:sz w:val="32"/>
          <w:szCs w:val="32"/>
          <w:highlight w:val="none"/>
        </w:rPr>
        <w:t>主要用于养殖环节病死猪无害化处理等。按照</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谁处理补给谁</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的原则，补助对象为承担无害化处理任务的实施者。各地农业农村部门加强对补助资金发放的监管，补助资金不得用于重大动物疫病扑杀畜禽、屠宰环节病死畜禽和病害畜禽产品无害化处理补助。</w:t>
      </w:r>
    </w:p>
    <w:p w14:paraId="7F3C3399">
      <w:pPr>
        <w:pStyle w:val="6"/>
        <w:keepNext w:val="0"/>
        <w:keepLines w:val="0"/>
        <w:pageBreakBefore w:val="0"/>
        <w:widowControl w:val="0"/>
        <w:kinsoku/>
        <w:wordWrap/>
        <w:overflowPunct/>
        <w:topLinePunct w:val="0"/>
        <w:bidi w:val="0"/>
        <w:snapToGrid/>
        <w:spacing w:line="620" w:lineRule="exact"/>
        <w:textAlignment w:val="auto"/>
        <w:rPr>
          <w:rFonts w:hint="default"/>
        </w:rPr>
      </w:pPr>
    </w:p>
    <w:p w14:paraId="7D47C14A">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方正仿宋_GBK">
    <w:panose1 w:val="03000509000000000000"/>
    <w:charset w:val="86"/>
    <w:family w:val="auto"/>
    <w:pitch w:val="default"/>
    <w:sig w:usb0="00000001" w:usb1="080E0000" w:usb2="00000000" w:usb3="00000000" w:csb0="00040000" w:csb1="00000000"/>
  </w:font>
  <w:font w:name="方正黑体_GBK">
    <w:panose1 w:val="02010600010101010101"/>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CA3377"/>
    <w:rsid w:val="09CA3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99"/>
    <w:pPr>
      <w:snapToGrid w:val="0"/>
      <w:spacing w:line="300" w:lineRule="auto"/>
      <w:ind w:firstLine="556"/>
    </w:pPr>
    <w:rPr>
      <w:rFonts w:ascii="??_GB2312" w:eastAsia="Times New Roman" w:cs="??_GB2312"/>
      <w:kern w:val="0"/>
    </w:rPr>
  </w:style>
  <w:style w:type="paragraph" w:customStyle="1" w:styleId="5">
    <w:name w:val="列出段落1"/>
    <w:basedOn w:val="1"/>
    <w:qFormat/>
    <w:uiPriority w:val="0"/>
    <w:pPr>
      <w:ind w:firstLine="420"/>
    </w:pPr>
  </w:style>
  <w:style w:type="paragraph" w:customStyle="1" w:styleId="6">
    <w:name w:val="Default"/>
    <w:next w:val="1"/>
    <w:qFormat/>
    <w:uiPriority w:val="0"/>
    <w:pPr>
      <w:widowControl w:val="0"/>
      <w:autoSpaceDE w:val="0"/>
      <w:autoSpaceDN w:val="0"/>
      <w:adjustRightInd w:val="0"/>
    </w:pPr>
    <w:rPr>
      <w:rFonts w:hint="eastAsia" w:ascii="方正仿宋_GBK" w:hAnsi="方正仿宋_GBK" w:eastAsia="方正仿宋_GBK" w:cs="Times New Roman"/>
      <w:color w:val="000000"/>
      <w:sz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2025-07-01T02:07:00Z</dcterms:created>
  <dc:creator>莫语</dc:creator>
  <cp:lastModifiedBy>莫语</cp:lastModifiedBy>
  <dcterms:modified xsi:type="dcterms:W3CDTF">2025-07-01T02:07:43Z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89886465F8D34B3E9950BB436C33FE38_11</vt:lpwstr>
  </property>
  <property fmtid="{D5CDD505-2E9C-101B-9397-08002B2CF9AE}" pid="4" name="KSOTemplateDocerSaveRecord">
    <vt:lpwstr>eyJoZGlkIjoiOWYzOGRiNDNiM2UxMzI1NzY2YjQ2MDA1ODRkNTQzY2YiLCJ1c2VySWQiOiIzNDA1ODU0MDcifQ==</vt:lpwstr>
  </property>
</Properties>
</file>