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4A500C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/>
        <w:spacing w:line="630" w:lineRule="exact"/>
        <w:ind w:firstLine="0" w:firstLineChars="0"/>
        <w:contextualSpacing/>
        <w:rPr>
          <w:rFonts w:hint="default" w:ascii="Times New Roman" w:hAnsi="Times New Roman" w:eastAsia="方正黑体_GBK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Cs/>
          <w:color w:val="000000"/>
          <w:sz w:val="32"/>
          <w:szCs w:val="32"/>
        </w:rPr>
        <w:t>附件5</w:t>
      </w:r>
    </w:p>
    <w:p w14:paraId="7765CBCD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/>
        <w:spacing w:line="630" w:lineRule="exact"/>
        <w:ind w:firstLine="640"/>
        <w:contextualSpacing/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</w:pPr>
    </w:p>
    <w:p w14:paraId="19ED8E4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/>
        <w:spacing w:line="630" w:lineRule="exact"/>
        <w:contextualSpacing/>
        <w:jc w:val="center"/>
        <w:rPr>
          <w:rFonts w:hint="default" w:ascii="Times New Roman" w:hAnsi="Times New Roman" w:eastAsia="方正小标宋_GBK" w:cs="Times New Roman"/>
          <w:b w:val="0"/>
          <w:bCs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000000"/>
          <w:sz w:val="44"/>
          <w:szCs w:val="44"/>
        </w:rPr>
        <w:t>农业生态资源保护资金项目实施</w:t>
      </w:r>
      <w:r>
        <w:rPr>
          <w:rFonts w:hint="default" w:ascii="Times New Roman" w:hAnsi="Times New Roman" w:eastAsia="方正小标宋_GBK" w:cs="Times New Roman"/>
          <w:b w:val="0"/>
          <w:bCs/>
          <w:color w:val="000000"/>
          <w:sz w:val="44"/>
          <w:szCs w:val="44"/>
          <w:lang w:eastAsia="zh-CN"/>
        </w:rPr>
        <w:t>方案</w:t>
      </w:r>
    </w:p>
    <w:p w14:paraId="277912D4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/>
        <w:spacing w:line="630" w:lineRule="exact"/>
        <w:ind w:firstLine="640"/>
        <w:contextualSpacing/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</w:pPr>
    </w:p>
    <w:p w14:paraId="3C7B3E5F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/>
        <w:spacing w:line="630" w:lineRule="exact"/>
        <w:ind w:firstLine="640"/>
        <w:contextualSpacing/>
        <w:rPr>
          <w:rFonts w:hint="default" w:ascii="Times New Roman" w:hAnsi="Times New Roman" w:eastAsia="方正黑体_GBK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Cs/>
          <w:color w:val="000000"/>
          <w:sz w:val="32"/>
          <w:szCs w:val="32"/>
        </w:rPr>
        <w:t>一、推进地膜科学使用回收</w:t>
      </w:r>
    </w:p>
    <w:p w14:paraId="29DAF950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30" w:lineRule="exact"/>
        <w:ind w:firstLine="640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为加快构建废旧地膜污染治理长效机制，有效提高地膜科学使用回收水平，聚焦全省重点用膜作物，以县（市、区）为主体，整县推进。</w:t>
      </w:r>
      <w:r>
        <w:rPr>
          <w:rFonts w:hint="default" w:ascii="Times New Roman" w:hAnsi="Times New Roman" w:eastAsia="方正仿宋_GBK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一是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科学推进加厚高强度地膜应用。针对玉米、蔬菜、甘蔗、马铃薯等主要覆膜作物，支持推广使用0.015毫米及以上的加厚高强度地膜，其覆盖使用时间和力学性能指标应不低于GB 13735—2017国家标准中I类耐老化地膜有关要求。</w:t>
      </w:r>
      <w:r>
        <w:rPr>
          <w:rFonts w:hint="default" w:ascii="Times New Roman" w:hAnsi="Times New Roman" w:eastAsia="方正仿宋_GBK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二是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有序推广全生物降解地膜。针对马铃薯、甘蔗、大蒜等适宜作物，支持有序推广符合GB/T 35795—2017国家标准的全生物降解地膜。</w:t>
      </w:r>
    </w:p>
    <w:p w14:paraId="25BDD30D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/>
        <w:spacing w:line="630" w:lineRule="exact"/>
        <w:ind w:firstLine="640"/>
        <w:contextualSpacing/>
        <w:rPr>
          <w:rFonts w:hint="default" w:ascii="Times New Roman" w:hAnsi="Times New Roman" w:eastAsia="方正黑体_GBK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Cs/>
          <w:color w:val="000000"/>
          <w:sz w:val="32"/>
          <w:szCs w:val="32"/>
        </w:rPr>
        <w:t>二、促进农作物秸秆综合利用</w:t>
      </w:r>
    </w:p>
    <w:p w14:paraId="6A2B1BE3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/>
        <w:spacing w:line="630" w:lineRule="exact"/>
        <w:ind w:firstLine="640"/>
        <w:contextualSpacing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  <w:bookmarkStart w:id="0" w:name="OLE_LINK3"/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为全面提升农作物秸秆综合利用质量和效益，形成农作物秸秆高水平利用格局，促进全省农业绿色发展、高质量发展，紧密结合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三农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重点任务中央农业生态资源保护农作物秸秆综合利用资金下达情况，坚持农用优先，2025年度全省拟建设15个农作物秸秆综合利用重点县（以下简称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重点县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），其中饲料化利用县9个、能源化利用县2个，其他综合利用县4个；全省秸秆综合利用率保持在87%以上，重点县利用率不低于90%或比上年提高5个百分点。县级农业农村部门要根据本地实际细化制定项目实施方案，州（市）农业农村部门要加强绩效监控，及时掌握工作进度和资金使用情况，确保项目任务按批复的实施方案如期完成。</w:t>
      </w:r>
    </w:p>
    <w:p w14:paraId="25935FB1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/>
        <w:spacing w:line="630" w:lineRule="exact"/>
        <w:ind w:firstLine="640"/>
        <w:contextualSpacing/>
        <w:rPr>
          <w:rFonts w:hint="default" w:ascii="Times New Roman" w:hAnsi="Times New Roman" w:eastAsia="方正黑体_GBK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Cs/>
          <w:color w:val="000000"/>
          <w:sz w:val="32"/>
          <w:szCs w:val="32"/>
        </w:rPr>
        <w:t>三、实施草原禁牧补助与草畜平衡奖励</w:t>
      </w:r>
    </w:p>
    <w:bookmarkEnd w:id="0"/>
    <w:p w14:paraId="3160E56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30" w:lineRule="exact"/>
        <w:ind w:firstLine="648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highlight w:val="none"/>
          <w:lang w:val="en-US" w:eastAsia="zh-CN"/>
        </w:rPr>
        <w:t>按照《云南省财政厅 云南省农业农村厅 云南省林业和草原局关于印发〈云南省第三轮草原生态保护补助奖励政策实施指导意见〉的通知》（云财农〔2021〕197号），继续在我省15个州（市）的109个县（市、区）实施对农牧民奖补政策。</w:t>
      </w:r>
      <w:r>
        <w:rPr>
          <w:rFonts w:hint="default" w:ascii="Times New Roman" w:hAnsi="Times New Roman" w:eastAsia="方正仿宋_GBK" w:cs="Times New Roman"/>
          <w:b/>
          <w:bCs/>
          <w:color w:val="000000"/>
          <w:kern w:val="0"/>
          <w:sz w:val="32"/>
          <w:szCs w:val="32"/>
          <w:highlight w:val="none"/>
          <w:lang w:eastAsia="zh-CN"/>
        </w:rPr>
        <w:t>一是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highlight w:val="none"/>
          <w:lang w:eastAsia="zh-CN"/>
        </w:rPr>
        <w:t>草原禁牧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highlight w:val="none"/>
          <w:lang w:val="en-US" w:eastAsia="zh-CN"/>
        </w:rPr>
        <w:t>补助。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highlight w:val="none"/>
          <w:lang w:eastAsia="zh-CN"/>
        </w:rPr>
        <w:t>严格按照禁牧区域划定的要求，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highlight w:val="none"/>
          <w:lang w:val="en-US" w:eastAsia="zh-CN"/>
        </w:rPr>
        <w:t>全省划定实施禁牧草原2733.84万亩，每亩补助7.5元。</w:t>
      </w:r>
      <w:r>
        <w:rPr>
          <w:rFonts w:hint="default" w:ascii="Times New Roman" w:hAnsi="Times New Roman" w:eastAsia="方正仿宋_GBK" w:cs="Times New Roman"/>
          <w:b/>
          <w:bCs/>
          <w:color w:val="000000"/>
          <w:kern w:val="0"/>
          <w:sz w:val="32"/>
          <w:szCs w:val="32"/>
          <w:highlight w:val="none"/>
          <w:lang w:val="en-US" w:eastAsia="zh-CN"/>
        </w:rPr>
        <w:t>二是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highlight w:val="none"/>
          <w:lang w:val="en-US" w:eastAsia="zh-CN"/>
        </w:rPr>
        <w:t>草畜平衡奖励。将已实施草原承包的草原，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highlight w:val="none"/>
          <w:lang w:eastAsia="zh-CN"/>
        </w:rPr>
        <w:t>除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highlight w:val="none"/>
          <w:lang w:val="en-US" w:eastAsia="zh-CN"/>
        </w:rPr>
        <w:t>实行禁牧以外的全部草原纳入草畜平衡奖励范围，草原面积为15060.08万亩，实施草畜平衡的草原要实施季节性休牧和划区轮牧，每亩补助2.5元。草原禁牧补助与草畜平衡奖励资金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highlight w:val="none"/>
          <w:lang w:eastAsia="zh-CN"/>
        </w:rPr>
        <w:t>通过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highlight w:val="none"/>
          <w:lang w:eastAsia="zh-CN"/>
        </w:rPr>
        <w:t>一卡通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highlight w:val="none"/>
          <w:lang w:eastAsia="zh-CN"/>
        </w:rPr>
        <w:t>及时足额发放，并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通过免费发放短信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highlight w:val="none"/>
          <w:lang w:eastAsia="zh-CN"/>
        </w:rPr>
        <w:t>明确政策项目名称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、金额等政策信息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highlight w:val="none"/>
          <w:lang w:eastAsia="zh-CN"/>
        </w:rPr>
        <w:t>。要加大政策宣传力度，引导农牧民在享受补贴政策的同时，自觉保持天然草原科学适度的放牧强度，切实落实草原禁牧和草畜平衡责任。</w:t>
      </w:r>
    </w:p>
    <w:p w14:paraId="7128FE24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/>
        <w:spacing w:line="630" w:lineRule="exact"/>
        <w:ind w:firstLine="640"/>
        <w:contextualSpacing/>
        <w:rPr>
          <w:rFonts w:hint="default" w:ascii="Times New Roman" w:hAnsi="Times New Roman" w:eastAsia="方正黑体_GBK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Cs/>
          <w:color w:val="000000"/>
          <w:sz w:val="32"/>
          <w:szCs w:val="32"/>
        </w:rPr>
        <w:t>四、渔业资源保护</w:t>
      </w:r>
    </w:p>
    <w:p w14:paraId="14CEE180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30" w:lineRule="exact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pacing w:val="5"/>
          <w:sz w:val="32"/>
          <w:szCs w:val="32"/>
          <w:lang w:eastAsia="zh-CN"/>
        </w:rPr>
        <w:t>　　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highlight w:val="none"/>
          <w:lang w:val="en-US" w:eastAsia="zh-CN"/>
        </w:rPr>
        <w:t>按照《农业农村部关于做好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highlight w:val="none"/>
          <w:lang w:val="en-US" w:eastAsia="zh-CN"/>
        </w:rPr>
        <w:t>十四五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highlight w:val="none"/>
          <w:lang w:val="en-US" w:eastAsia="zh-CN"/>
        </w:rPr>
        <w:t>水生生物增殖放流工作的指导意见》（农渔发〔2022〕1号）《农业农村部办公厅关于做好2025年中央财政水生生物增殖放流项目工作的通知》（农办渔〔2025〕15号）要求，结合全省九大高原湖泊和长江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highlight w:val="none"/>
          <w:lang w:val="en-US" w:eastAsia="zh-CN"/>
        </w:rPr>
        <w:t>十年禁渔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highlight w:val="none"/>
          <w:lang w:val="en-US" w:eastAsia="zh-CN"/>
        </w:rPr>
        <w:t>等水生生物资源养护重点工作，2025年水生生物增殖放流工作统筹兼顾生态和效益、质量和数量并重原则，优化调整放流物种、严格选择供苗单位、科学投放放流品种、严格把控放流苗种质量、科学选择放流水域，以及加强活动执法监督和做好放流活动效果评估等，完成年度水生生物增殖放流目标：增殖放流规模1920万尾（大规格广布型经济物种数量900万尾、区域性物种800万尾、珍贵濒危物种220万尾）、重要经济物种放流资源贡献率 ≥ 2%、增殖放流区域内抽样调查满意度 ≥ 90%。通过增殖放流项目实施，增加各地区区域性鱼类、濒危保护鱼类的数量，扩大群体规模，实现改善放流水域生态环境、加快恢复渔业种群资源和可持续发展等目标。</w:t>
      </w:r>
    </w:p>
    <w:p w14:paraId="011C8A2D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/>
        <w:spacing w:line="630" w:lineRule="exact"/>
        <w:ind w:firstLine="0" w:firstLineChars="0"/>
        <w:contextualSpacing/>
        <w:rPr>
          <w:rFonts w:hint="default" w:ascii="Times New Roman" w:hAnsi="Times New Roman" w:eastAsia="方正黑体_GBK" w:cs="Times New Roman"/>
          <w:bCs/>
          <w:color w:val="000000"/>
          <w:sz w:val="32"/>
          <w:szCs w:val="32"/>
        </w:rPr>
      </w:pPr>
    </w:p>
    <w:p w14:paraId="7EEA53BE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黑体_GBK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ED00AD"/>
    <w:rsid w:val="69ED0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snapToGrid w:val="0"/>
      <w:spacing w:line="300" w:lineRule="auto"/>
      <w:ind w:firstLine="556"/>
    </w:pPr>
    <w:rPr>
      <w:rFonts w:ascii="??_GB2312" w:eastAsia="Times New Roman" w:cs="??_GB2312"/>
      <w:kern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2025-07-01T02:07:00Z</dcterms:created>
  <dc:creator>莫语</dc:creator>
  <cp:lastModifiedBy>莫语</cp:lastModifiedBy>
  <dcterms:modified xsi:type="dcterms:W3CDTF">2025-07-01T02:07:20Z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6588431AC2F24AD0A926DA2126DA028F_11</vt:lpwstr>
  </property>
  <property fmtid="{D5CDD505-2E9C-101B-9397-08002B2CF9AE}" pid="4" name="KSOTemplateDocerSaveRecord">
    <vt:lpwstr>eyJoZGlkIjoiOWYzOGRiNDNiM2UxMzI1NzY2YjQ2MDA1ODRkNTQzY2YiLCJ1c2VySWQiOiIzNDA1ODU0MDcifQ==</vt:lpwstr>
  </property>
</Properties>
</file>