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01FFD">
      <w:pPr>
        <w:keepNext w:val="0"/>
        <w:keepLines w:val="0"/>
        <w:pageBreakBefore w:val="0"/>
        <w:kinsoku/>
        <w:wordWrap/>
        <w:overflowPunct/>
        <w:topLinePunct w:val="0"/>
        <w:bidi w:val="0"/>
        <w:snapToGrid/>
        <w:spacing w:line="630" w:lineRule="exact"/>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附件4</w:t>
      </w:r>
    </w:p>
    <w:p w14:paraId="09066B84">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bCs/>
          <w:color w:val="000000"/>
          <w:sz w:val="32"/>
          <w:szCs w:val="32"/>
        </w:rPr>
      </w:pPr>
    </w:p>
    <w:p w14:paraId="2AE2B1ED">
      <w:pPr>
        <w:keepNext w:val="0"/>
        <w:keepLines w:val="0"/>
        <w:pageBreakBefore w:val="0"/>
        <w:kinsoku/>
        <w:wordWrap/>
        <w:overflowPunct/>
        <w:topLinePunct w:val="0"/>
        <w:bidi w:val="0"/>
        <w:adjustRightInd w:val="0"/>
        <w:snapToGrid/>
        <w:spacing w:line="630" w:lineRule="exact"/>
        <w:contextualSpacing/>
        <w:jc w:val="center"/>
        <w:rPr>
          <w:rFonts w:hint="default" w:ascii="Times New Roman" w:hAnsi="Times New Roman" w:eastAsia="方正小标宋_GBK" w:cs="Times New Roman"/>
          <w:b w:val="0"/>
          <w:bCs/>
          <w:color w:val="000000"/>
          <w:sz w:val="44"/>
          <w:szCs w:val="44"/>
        </w:rPr>
      </w:pPr>
      <w:r>
        <w:rPr>
          <w:rFonts w:hint="default" w:ascii="Times New Roman" w:hAnsi="Times New Roman" w:eastAsia="方正小标宋_GBK" w:cs="Times New Roman"/>
          <w:b w:val="0"/>
          <w:bCs/>
          <w:color w:val="000000"/>
          <w:sz w:val="44"/>
          <w:szCs w:val="44"/>
        </w:rPr>
        <w:t>农业经营主体能力提升资金项目实施</w:t>
      </w:r>
      <w:r>
        <w:rPr>
          <w:rFonts w:hint="default" w:ascii="Times New Roman" w:hAnsi="Times New Roman" w:eastAsia="方正小标宋_GBK" w:cs="Times New Roman"/>
          <w:b w:val="0"/>
          <w:bCs/>
          <w:color w:val="000000"/>
          <w:sz w:val="44"/>
          <w:szCs w:val="44"/>
          <w:lang w:eastAsia="zh-CN"/>
        </w:rPr>
        <w:t>方案</w:t>
      </w:r>
    </w:p>
    <w:p w14:paraId="17DAB7E7">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仿宋_GBK" w:cs="Times New Roman"/>
          <w:bCs/>
          <w:color w:val="000000"/>
          <w:sz w:val="32"/>
          <w:szCs w:val="32"/>
        </w:rPr>
      </w:pPr>
    </w:p>
    <w:p w14:paraId="00561BBA">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一、提升新型农业经营主体生产经营水平</w:t>
      </w:r>
    </w:p>
    <w:p w14:paraId="7D9441D6">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b w:val="0"/>
          <w:bCs/>
          <w:color w:val="000000"/>
          <w:kern w:val="2"/>
          <w:sz w:val="32"/>
          <w:szCs w:val="32"/>
          <w:lang w:val="en-US" w:eastAsia="zh-CN" w:bidi="ar-SA"/>
        </w:rPr>
        <w:t>（一）实施粮油规模种</w:t>
      </w:r>
      <w:r>
        <w:rPr>
          <w:rFonts w:hint="default" w:ascii="Times New Roman" w:hAnsi="Times New Roman" w:eastAsia="方正楷体_GBK" w:cs="Times New Roman"/>
          <w:b w:val="0"/>
          <w:bCs/>
          <w:color w:val="000000"/>
          <w:sz w:val="32"/>
          <w:szCs w:val="32"/>
        </w:rPr>
        <w:t>植主体单产提升行动。</w:t>
      </w:r>
      <w:bookmarkStart w:id="0" w:name="OLE_LINK1"/>
      <w:r>
        <w:rPr>
          <w:rFonts w:hint="default" w:ascii="Times New Roman" w:hAnsi="Times New Roman" w:eastAsia="方正仿宋_GBK" w:cs="Times New Roman"/>
          <w:color w:val="000000"/>
          <w:sz w:val="32"/>
          <w:szCs w:val="32"/>
        </w:rPr>
        <w:t>聚焦玉米、水稻、小麦、大豆、油菜</w:t>
      </w:r>
      <w:r>
        <w:rPr>
          <w:rFonts w:hint="default" w:ascii="Times New Roman" w:hAnsi="Times New Roman" w:eastAsia="方正仿宋_GBK" w:cs="Times New Roman"/>
          <w:color w:val="000000"/>
          <w:sz w:val="32"/>
          <w:szCs w:val="32"/>
          <w:lang w:eastAsia="zh-CN"/>
        </w:rPr>
        <w:t>、马铃薯</w:t>
      </w:r>
      <w:r>
        <w:rPr>
          <w:rFonts w:hint="default" w:ascii="Times New Roman" w:hAnsi="Times New Roman" w:eastAsia="方正仿宋_GBK" w:cs="Times New Roman"/>
          <w:color w:val="000000"/>
          <w:sz w:val="32"/>
          <w:szCs w:val="32"/>
        </w:rPr>
        <w:t>等重要粮油作物</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依托家庭农场、农民合作社等新型农业经营主体</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因地制宜集成推广应用精量播种、合理密植、低损收获等技术模式</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充分挖掘地</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种</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肥</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药各要素、耕种管收各环节增产潜力。各地要注重调动种植主体优化组织方式、应用先进技术的积极性</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并有效发挥对小农户提高关键技术模式到位率的示范带动作用。</w:t>
      </w:r>
      <w:r>
        <w:rPr>
          <w:rFonts w:hint="default" w:ascii="Times New Roman" w:hAnsi="Times New Roman" w:eastAsia="方正仿宋_GBK" w:cs="Times New Roman"/>
          <w:color w:val="000000"/>
          <w:sz w:val="32"/>
          <w:szCs w:val="32"/>
          <w:lang w:eastAsia="zh-CN"/>
        </w:rPr>
        <w:t>根据省级制定的实施方案，</w:t>
      </w:r>
      <w:r>
        <w:rPr>
          <w:rFonts w:hint="default" w:ascii="Times New Roman" w:hAnsi="Times New Roman" w:eastAsia="方正仿宋_GBK" w:cs="Times New Roman"/>
          <w:color w:val="000000"/>
          <w:sz w:val="32"/>
          <w:szCs w:val="32"/>
        </w:rPr>
        <w:t>采取主体自主申报、审核遴选项目</w:t>
      </w:r>
      <w:r>
        <w:rPr>
          <w:rFonts w:hint="default"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rPr>
        <w:t>管理方式抓好实施</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并坚持结果导向</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根据关键技术措施到位率、单产目标完成情况等情况</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择优确定奖补对象和资金。</w:t>
      </w:r>
    </w:p>
    <w:p w14:paraId="0A6264BB">
      <w:pPr>
        <w:keepNext w:val="0"/>
        <w:keepLines w:val="0"/>
        <w:pageBreakBefore w:val="0"/>
        <w:kinsoku/>
        <w:wordWrap/>
        <w:overflowPunct/>
        <w:topLinePunct w:val="0"/>
        <w:bidi w:val="0"/>
        <w:adjustRightInd w:val="0"/>
        <w:snapToGrid/>
        <w:spacing w:line="630" w:lineRule="exact"/>
        <w:ind w:firstLine="643"/>
        <w:contextualSpacing/>
        <w:rPr>
          <w:rFonts w:hint="default" w:ascii="Times New Roman" w:hAnsi="Times New Roman" w:eastAsia="方正仿宋_GBK" w:cs="Times New Roman"/>
          <w:b w:val="0"/>
          <w:bCs/>
          <w:color w:val="000000"/>
          <w:sz w:val="32"/>
          <w:szCs w:val="32"/>
        </w:rPr>
      </w:pPr>
      <w:r>
        <w:rPr>
          <w:rFonts w:hint="default" w:ascii="Times New Roman" w:hAnsi="Times New Roman" w:eastAsia="方正楷体_GBK" w:cs="Times New Roman"/>
          <w:b w:val="0"/>
          <w:bCs/>
          <w:color w:val="000000"/>
          <w:sz w:val="32"/>
          <w:szCs w:val="32"/>
        </w:rPr>
        <w:t>（二）</w:t>
      </w:r>
      <w:r>
        <w:rPr>
          <w:rFonts w:hint="default" w:ascii="Times New Roman" w:hAnsi="Times New Roman" w:eastAsia="方正楷体_GBK" w:cs="Times New Roman"/>
          <w:b w:val="0"/>
          <w:bCs/>
          <w:color w:val="000000"/>
          <w:sz w:val="32"/>
          <w:szCs w:val="32"/>
          <w:lang w:val="en-US" w:eastAsia="zh-CN"/>
        </w:rPr>
        <w:t>开展</w:t>
      </w:r>
      <w:r>
        <w:rPr>
          <w:rFonts w:hint="default" w:ascii="Times New Roman" w:hAnsi="Times New Roman" w:eastAsia="方正楷体_GBK" w:cs="Times New Roman"/>
          <w:b w:val="0"/>
          <w:bCs/>
          <w:color w:val="000000"/>
          <w:sz w:val="32"/>
          <w:szCs w:val="32"/>
        </w:rPr>
        <w:t>现代设施农业建设贷款贴息。</w:t>
      </w:r>
      <w:r>
        <w:rPr>
          <w:rFonts w:hint="default" w:ascii="Times New Roman" w:hAnsi="Times New Roman" w:eastAsia="方正仿宋_GBK" w:cs="Times New Roman"/>
          <w:b w:val="0"/>
          <w:bCs/>
          <w:color w:val="000000"/>
          <w:sz w:val="32"/>
          <w:szCs w:val="32"/>
        </w:rPr>
        <w:t>通过贷款贴息方式，有效发挥财政支农资金撬动作用，引导更多金融和社会资本按市场化原则投向设施农业建设。要做实各级融资项目储备，优化完善对接服务机制，引导各类金融机构创设专属产品，创新支持模式，制定出台更具针对性的优惠政策。要全面加强全流程监管，强化项目督促调度，规范台账登记，防范化解各类风险，严防虚报申领等违法违规行为。对已享受技术改造和设备更新再贷款等相关政策的项目，不再重复享受现代设施农业贷款贴息政策。</w:t>
      </w:r>
    </w:p>
    <w:bookmarkEnd w:id="0"/>
    <w:p w14:paraId="133A05B3">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z w:val="32"/>
          <w:szCs w:val="32"/>
        </w:rPr>
      </w:pPr>
      <w:bookmarkStart w:id="1" w:name="OLE_LINK10"/>
      <w:r>
        <w:rPr>
          <w:rFonts w:hint="default" w:ascii="Times New Roman" w:hAnsi="Times New Roman" w:eastAsia="方正楷体_GBK" w:cs="Times New Roman"/>
          <w:color w:val="000000"/>
          <w:sz w:val="32"/>
          <w:szCs w:val="32"/>
          <w:lang w:eastAsia="zh-CN"/>
        </w:rPr>
        <w:t>（</w:t>
      </w:r>
      <w:r>
        <w:rPr>
          <w:rFonts w:hint="default" w:ascii="Times New Roman" w:hAnsi="Times New Roman" w:eastAsia="方正楷体_GBK" w:cs="Times New Roman"/>
          <w:color w:val="000000"/>
          <w:sz w:val="32"/>
          <w:szCs w:val="32"/>
          <w:lang w:val="en-US" w:eastAsia="zh-CN"/>
        </w:rPr>
        <w:t>三</w:t>
      </w:r>
      <w:r>
        <w:rPr>
          <w:rFonts w:hint="default" w:ascii="Times New Roman" w:hAnsi="Times New Roman" w:eastAsia="方正楷体_GBK" w:cs="Times New Roman"/>
          <w:color w:val="000000"/>
          <w:sz w:val="32"/>
          <w:szCs w:val="32"/>
          <w:lang w:eastAsia="zh-CN"/>
        </w:rPr>
        <w:t>）</w:t>
      </w:r>
      <w:r>
        <w:rPr>
          <w:rFonts w:hint="default" w:ascii="Times New Roman" w:hAnsi="Times New Roman" w:eastAsia="方正楷体_GBK" w:cs="Times New Roman"/>
          <w:color w:val="000000"/>
          <w:sz w:val="32"/>
          <w:szCs w:val="32"/>
        </w:rPr>
        <w:t>实施绿色种养循环农业项目。</w:t>
      </w:r>
      <w:bookmarkEnd w:id="1"/>
      <w:r>
        <w:rPr>
          <w:rFonts w:hint="default" w:ascii="Times New Roman" w:hAnsi="Times New Roman" w:eastAsia="方正仿宋_GBK" w:cs="Times New Roman"/>
          <w:color w:val="000000"/>
          <w:sz w:val="32"/>
          <w:szCs w:val="32"/>
        </w:rPr>
        <w:t>继续推进畜禽粪肥就地就近还田利用</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集成推广粪肥机械化还田技术模式</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鼓励粪肥还田向大田粮食作物倾斜。强化服务组织培育</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完善养殖主体、社会化服务组织、种植主体利益联结机制。完成绿色种养循环农业项目5年试点工作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总结项目实施成效经验</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形成可复制可推广的粪肥还田模式和长效运行机制。农业经营主体能力提升资金工作任务清单</w:t>
      </w:r>
    </w:p>
    <w:p w14:paraId="3F8562BC">
      <w:pPr>
        <w:keepNext w:val="0"/>
        <w:keepLines w:val="0"/>
        <w:pageBreakBefore w:val="0"/>
        <w:widowControl w:val="0"/>
        <w:kinsoku/>
        <w:wordWrap/>
        <w:overflowPunct/>
        <w:topLinePunct w:val="0"/>
        <w:autoSpaceDE/>
        <w:autoSpaceDN/>
        <w:bidi w:val="0"/>
        <w:adjustRightInd/>
        <w:snapToGrid/>
        <w:spacing w:line="630" w:lineRule="exact"/>
        <w:ind w:firstLine="640" w:firstLineChars="200"/>
        <w:textAlignment w:val="auto"/>
        <w:rPr>
          <w:rFonts w:hint="default" w:ascii="Times New Roman" w:hAnsi="Times New Roman" w:eastAsia="方正仿宋_GBK" w:cs="Times New Roman"/>
          <w:color w:val="000000"/>
          <w:spacing w:val="-6"/>
          <w:sz w:val="32"/>
          <w:szCs w:val="32"/>
          <w:lang w:eastAsia="zh-CN"/>
        </w:rPr>
      </w:pPr>
      <w:r>
        <w:rPr>
          <w:rFonts w:hint="default" w:ascii="Times New Roman" w:hAnsi="Times New Roman" w:eastAsia="方正楷体_GBK" w:cs="Times New Roman"/>
          <w:color w:val="000000"/>
          <w:sz w:val="32"/>
          <w:szCs w:val="32"/>
          <w:lang w:eastAsia="zh-CN"/>
        </w:rPr>
        <w:t>（</w:t>
      </w:r>
      <w:r>
        <w:rPr>
          <w:rFonts w:hint="default" w:ascii="Times New Roman" w:hAnsi="Times New Roman" w:eastAsia="方正楷体_GBK" w:cs="Times New Roman"/>
          <w:color w:val="000000"/>
          <w:sz w:val="32"/>
          <w:szCs w:val="32"/>
          <w:lang w:val="en-US" w:eastAsia="zh-CN"/>
        </w:rPr>
        <w:t>四</w:t>
      </w:r>
      <w:r>
        <w:rPr>
          <w:rFonts w:hint="default" w:ascii="Times New Roman" w:hAnsi="Times New Roman" w:eastAsia="方正楷体_GBK" w:cs="Times New Roman"/>
          <w:color w:val="000000"/>
          <w:sz w:val="32"/>
          <w:szCs w:val="32"/>
          <w:lang w:eastAsia="zh-CN"/>
        </w:rPr>
        <w:t>）</w:t>
      </w:r>
      <w:r>
        <w:rPr>
          <w:rFonts w:hint="default" w:ascii="Times New Roman" w:hAnsi="Times New Roman" w:eastAsia="方正楷体_GBK" w:cs="Times New Roman"/>
          <w:color w:val="000000"/>
          <w:sz w:val="32"/>
          <w:szCs w:val="32"/>
        </w:rPr>
        <w:t>支持果蔬生产设施条件改善。</w:t>
      </w:r>
      <w:r>
        <w:rPr>
          <w:rFonts w:hint="default" w:ascii="Times New Roman" w:hAnsi="Times New Roman" w:eastAsia="方正仿宋_GBK" w:cs="Times New Roman"/>
          <w:color w:val="000000"/>
          <w:sz w:val="32"/>
          <w:szCs w:val="32"/>
          <w:lang w:val="en-US" w:eastAsia="zh-CN"/>
        </w:rPr>
        <w:t>根据《财政部关于下达2025年农业经营主体能力提升资金预算的通知（财农〔2025〕15号）》等文件要求，结合我省实际，2025年支持昆明、昭通、曲靖、玉溪、红河、文山、楚雄、大理、丽江和临沧10个（州、市）的20</w:t>
      </w:r>
      <w:r>
        <w:rPr>
          <w:rFonts w:hint="default" w:ascii="Times New Roman" w:hAnsi="Times New Roman" w:eastAsia="方正仿宋_GBK" w:cs="Times New Roman"/>
          <w:color w:val="000000"/>
          <w:sz w:val="32"/>
          <w:szCs w:val="32"/>
          <w:lang w:val="en" w:eastAsia="zh-CN"/>
        </w:rPr>
        <w:t>个县（市、区）开展</w:t>
      </w:r>
      <w:r>
        <w:rPr>
          <w:rFonts w:hint="default" w:ascii="Times New Roman" w:hAnsi="Times New Roman" w:eastAsia="方正仿宋_GBK" w:cs="Times New Roman"/>
          <w:color w:val="000000"/>
          <w:sz w:val="32"/>
          <w:szCs w:val="32"/>
          <w:lang w:val="en-US" w:eastAsia="zh-CN"/>
        </w:rPr>
        <w:t>水果、蔬菜、花卉、中药材、茶叶和咖啡6个高原特色重点产业</w:t>
      </w:r>
      <w:r>
        <w:rPr>
          <w:rFonts w:hint="default" w:ascii="Times New Roman" w:hAnsi="Times New Roman" w:eastAsia="方正仿宋_GBK" w:cs="Times New Roman"/>
          <w:color w:val="000000"/>
          <w:sz w:val="32"/>
          <w:szCs w:val="32"/>
          <w:lang w:val="en" w:eastAsia="zh-CN"/>
        </w:rPr>
        <w:t>生产设施条件改善</w:t>
      </w:r>
      <w:r>
        <w:rPr>
          <w:rFonts w:hint="default"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b/>
          <w:bCs/>
          <w:color w:val="000000"/>
          <w:sz w:val="32"/>
          <w:szCs w:val="32"/>
          <w:lang w:val="en-US" w:eastAsia="zh-CN"/>
        </w:rPr>
        <w:t>一是重点支持方向。</w:t>
      </w:r>
      <w:r>
        <w:rPr>
          <w:rFonts w:hint="default" w:ascii="Times New Roman" w:hAnsi="Times New Roman" w:eastAsia="方正仿宋_GBK" w:cs="Times New Roman"/>
          <w:color w:val="000000"/>
          <w:sz w:val="32"/>
          <w:szCs w:val="32"/>
          <w:lang w:val="en-US" w:eastAsia="zh-CN"/>
        </w:rPr>
        <w:t>各项目县（市、区）围绕水果、蔬菜、花卉、咖啡、中药材、咖啡等高原特色重点产业，结合资金额度、任务目标等情况综合确定补贴标准，按照实际完成生产设施条件改善规模（面积）进行支持，包括温室大棚、遮阳、防爆网、水肥一体化等设施。</w:t>
      </w:r>
      <w:r>
        <w:rPr>
          <w:rFonts w:hint="default" w:ascii="Times New Roman" w:hAnsi="Times New Roman" w:eastAsia="方正仿宋_GBK" w:cs="Times New Roman"/>
          <w:b/>
          <w:bCs/>
          <w:color w:val="000000"/>
          <w:sz w:val="32"/>
          <w:szCs w:val="32"/>
          <w:lang w:val="en-US" w:eastAsia="zh-CN"/>
        </w:rPr>
        <w:t>二是支持对象及条件。</w:t>
      </w:r>
      <w:r>
        <w:rPr>
          <w:rFonts w:hint="default" w:ascii="Times New Roman" w:hAnsi="Times New Roman" w:eastAsia="方正仿宋_GBK" w:cs="Times New Roman"/>
          <w:color w:val="000000"/>
          <w:sz w:val="32"/>
          <w:szCs w:val="32"/>
          <w:lang w:val="en-US" w:eastAsia="zh-CN"/>
        </w:rPr>
        <w:t>设施化提升改善技术措施先进，示范性好，辐射带动能力强，先进适用和新技术研发推广等方面有创新、有潜力的新型经营主体，包括种植企业、农民生产专业合作社和家庭农场及其他新型经营主体。</w:t>
      </w:r>
      <w:r>
        <w:rPr>
          <w:rFonts w:hint="default" w:ascii="Times New Roman" w:hAnsi="Times New Roman" w:eastAsia="方正仿宋_GBK" w:cs="Times New Roman"/>
          <w:b/>
          <w:bCs/>
          <w:color w:val="000000"/>
          <w:sz w:val="32"/>
          <w:szCs w:val="32"/>
          <w:lang w:val="en-US" w:eastAsia="zh-CN"/>
        </w:rPr>
        <w:t>三是绩效目标。</w:t>
      </w:r>
      <w:r>
        <w:rPr>
          <w:rFonts w:hint="default" w:ascii="Times New Roman" w:hAnsi="Times New Roman" w:eastAsia="方正仿宋_GBK" w:cs="Times New Roman"/>
          <w:color w:val="000000"/>
          <w:sz w:val="32"/>
          <w:szCs w:val="32"/>
          <w:lang w:val="en-US" w:eastAsia="zh-CN"/>
        </w:rPr>
        <w:t>资金支持的20个县（市、区），其新型农业经营主体生产设施条件明显改善，现代设施农业产能和发展质量效益稳健发展，全省高原特色重点产业生产设施条件改善面积1万亩以上，各县（市、区）完成生产设施条件改善面积不低于0.5万亩。</w:t>
      </w:r>
      <w:r>
        <w:rPr>
          <w:rFonts w:hint="default" w:ascii="Times New Roman" w:hAnsi="Times New Roman" w:eastAsia="方正仿宋_GBK" w:cs="Times New Roman"/>
          <w:b/>
          <w:bCs/>
          <w:color w:val="000000"/>
          <w:sz w:val="32"/>
          <w:szCs w:val="32"/>
          <w:lang w:val="en-US" w:eastAsia="zh-CN"/>
        </w:rPr>
        <w:t>四是实施要求及监管措施。</w:t>
      </w:r>
      <w:r>
        <w:rPr>
          <w:rFonts w:hint="default" w:ascii="Times New Roman" w:hAnsi="Times New Roman" w:eastAsia="方正仿宋_GBK" w:cs="Times New Roman"/>
          <w:color w:val="000000"/>
          <w:sz w:val="32"/>
          <w:szCs w:val="32"/>
          <w:lang w:val="en-US" w:eastAsia="zh-CN"/>
        </w:rPr>
        <w:t>按照《财政部 农业农村部关于印发农业相关转移支付资金管理办法的通知》（财农〔2023〕22号）《云南省财政厅关于下达2025年中央农业经营主体能力提升资金（第二批）的通知（云财农〔2025〕55号）》及省级财政资金管理相关要求组织实施。及时分解目标任务，确定支持项目，并制定具体实施方案；定期动态跟踪，绩效运行监控，督促填报</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转移支付管理平台</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，及时开展现场调研、培训等服务，阶段性梳理和整理项目执行情况，及时发现并纠正实施过程存</w:t>
      </w:r>
      <w:r>
        <w:rPr>
          <w:rFonts w:hint="default" w:ascii="Times New Roman" w:hAnsi="Times New Roman" w:eastAsia="方正仿宋_GBK" w:cs="Times New Roman"/>
          <w:color w:val="000000"/>
          <w:spacing w:val="-6"/>
          <w:sz w:val="32"/>
          <w:szCs w:val="32"/>
          <w:lang w:val="en-US" w:eastAsia="zh-CN"/>
        </w:rPr>
        <w:t>在的问题，确保绩效如期实现；认真对组织领导、制度建设、资金拨付、档案留存、项目验收等项目管理情况，以及绩效自评和结果应用的开展督导检查，挖掘典型经验做法开展宣传推介。</w:t>
      </w:r>
    </w:p>
    <w:p w14:paraId="56AFCD27">
      <w:pPr>
        <w:keepNext w:val="0"/>
        <w:keepLines w:val="0"/>
        <w:pageBreakBefore w:val="0"/>
        <w:kinsoku/>
        <w:wordWrap/>
        <w:overflowPunct/>
        <w:topLinePunct w:val="0"/>
        <w:bidi w:val="0"/>
        <w:snapToGrid/>
        <w:spacing w:line="630" w:lineRule="exact"/>
        <w:ind w:firstLine="640" w:firstLineChars="200"/>
        <w:outlineLvl w:val="0"/>
        <w:rPr>
          <w:rFonts w:hint="default" w:ascii="Times New Roman" w:hAnsi="Times New Roman" w:eastAsia="方正仿宋_GBK" w:cs="Times New Roman"/>
          <w:color w:val="000000"/>
          <w:sz w:val="32"/>
          <w:szCs w:val="32"/>
          <w:highlight w:val="none"/>
          <w:lang w:val="en-US" w:eastAsia="zh-CN"/>
        </w:rPr>
      </w:pPr>
      <w:r>
        <w:rPr>
          <w:rFonts w:hint="default" w:ascii="Times New Roman" w:hAnsi="Times New Roman" w:eastAsia="方正楷体_GBK" w:cs="Times New Roman"/>
          <w:b w:val="0"/>
          <w:bCs/>
          <w:color w:val="000000"/>
          <w:sz w:val="32"/>
          <w:szCs w:val="32"/>
        </w:rPr>
        <w:t>（</w:t>
      </w:r>
      <w:r>
        <w:rPr>
          <w:rFonts w:hint="default" w:ascii="Times New Roman" w:hAnsi="Times New Roman" w:eastAsia="方正楷体_GBK" w:cs="Times New Roman"/>
          <w:b w:val="0"/>
          <w:bCs/>
          <w:color w:val="000000"/>
          <w:sz w:val="32"/>
          <w:szCs w:val="32"/>
          <w:lang w:val="en-US" w:eastAsia="zh-CN"/>
        </w:rPr>
        <w:t>五</w:t>
      </w:r>
      <w:r>
        <w:rPr>
          <w:rFonts w:hint="default" w:ascii="Times New Roman" w:hAnsi="Times New Roman" w:eastAsia="方正楷体_GBK" w:cs="Times New Roman"/>
          <w:b w:val="0"/>
          <w:bCs/>
          <w:color w:val="000000"/>
          <w:sz w:val="32"/>
          <w:szCs w:val="32"/>
        </w:rPr>
        <w:t>）推进</w:t>
      </w:r>
      <w:r>
        <w:rPr>
          <w:rFonts w:hint="default" w:ascii="Times New Roman" w:hAnsi="Times New Roman" w:eastAsia="方正楷体_GBK" w:cs="Times New Roman"/>
          <w:b w:val="0"/>
          <w:bCs/>
          <w:color w:val="000000"/>
          <w:sz w:val="32"/>
          <w:szCs w:val="32"/>
          <w:lang w:val="en-US" w:eastAsia="zh-CN"/>
        </w:rPr>
        <w:t>新型农业经营主体</w:t>
      </w:r>
      <w:r>
        <w:rPr>
          <w:rFonts w:hint="default" w:ascii="Times New Roman" w:hAnsi="Times New Roman" w:eastAsia="方正楷体_GBK" w:cs="Times New Roman"/>
          <w:b w:val="0"/>
          <w:bCs/>
          <w:color w:val="000000"/>
          <w:sz w:val="32"/>
          <w:szCs w:val="32"/>
        </w:rPr>
        <w:t>提质增效</w:t>
      </w:r>
      <w:r>
        <w:rPr>
          <w:rFonts w:hint="default" w:ascii="Times New Roman" w:hAnsi="Times New Roman" w:eastAsia="方正楷体_GBK" w:cs="Times New Roman"/>
          <w:b w:val="0"/>
          <w:bCs/>
          <w:color w:val="000000"/>
          <w:sz w:val="32"/>
          <w:szCs w:val="32"/>
          <w:lang w:eastAsia="zh-CN"/>
        </w:rPr>
        <w:t>。</w:t>
      </w:r>
      <w:r>
        <w:rPr>
          <w:rFonts w:hint="default" w:ascii="Times New Roman" w:hAnsi="Times New Roman" w:eastAsia="方正仿宋_GBK" w:cs="Times New Roman"/>
          <w:b/>
          <w:bCs w:val="0"/>
          <w:color w:val="000000"/>
          <w:sz w:val="32"/>
          <w:szCs w:val="32"/>
          <w:lang w:eastAsia="zh-CN"/>
        </w:rPr>
        <w:t>一是</w:t>
      </w:r>
      <w:r>
        <w:rPr>
          <w:rFonts w:hint="default" w:ascii="Times New Roman" w:hAnsi="Times New Roman" w:eastAsia="方正仿宋_GBK" w:cs="Times New Roman"/>
          <w:color w:val="000000"/>
          <w:sz w:val="32"/>
          <w:szCs w:val="32"/>
          <w:lang w:val="en-US" w:eastAsia="zh-CN"/>
        </w:rPr>
        <w:t>全省支持不少于77个农民合作社联合社，对于联农带农成效明显、带农增收显著、从事粮食油料种植或从事农业社会化服务的，条件可适当放宽至有意愿开展联合合作的农民合作社。</w:t>
      </w:r>
      <w:r>
        <w:rPr>
          <w:rFonts w:hint="default" w:ascii="Times New Roman" w:hAnsi="Times New Roman" w:eastAsia="方正仿宋_GBK" w:cs="Times New Roman"/>
          <w:b/>
          <w:bCs/>
          <w:color w:val="000000"/>
          <w:sz w:val="32"/>
          <w:szCs w:val="32"/>
          <w:lang w:val="en-US" w:eastAsia="zh-CN"/>
        </w:rPr>
        <w:t>二是</w:t>
      </w:r>
      <w:r>
        <w:rPr>
          <w:rFonts w:hint="default" w:ascii="Times New Roman" w:hAnsi="Times New Roman" w:eastAsia="方正仿宋_GBK" w:cs="Times New Roman"/>
          <w:color w:val="000000"/>
          <w:sz w:val="32"/>
          <w:szCs w:val="32"/>
          <w:lang w:val="en-US" w:eastAsia="zh-CN"/>
        </w:rPr>
        <w:t>支持全省</w:t>
      </w:r>
      <w:r>
        <w:rPr>
          <w:rFonts w:hint="default" w:ascii="Times New Roman" w:hAnsi="Times New Roman" w:eastAsia="方正仿宋_GBK" w:cs="Times New Roman"/>
          <w:color w:val="000000"/>
          <w:sz w:val="32"/>
          <w:szCs w:val="32"/>
          <w:lang w:eastAsia="zh-CN"/>
        </w:rPr>
        <w:t>不少于</w:t>
      </w:r>
      <w:r>
        <w:rPr>
          <w:rFonts w:hint="default" w:ascii="Times New Roman" w:hAnsi="Times New Roman" w:eastAsia="方正仿宋_GBK" w:cs="Times New Roman"/>
          <w:color w:val="000000"/>
          <w:sz w:val="32"/>
          <w:szCs w:val="32"/>
          <w:lang w:val="en-US" w:eastAsia="zh-CN"/>
        </w:rPr>
        <w:t>188家经市场监督管理部门注册登记且纳入全国家庭农场</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一码通</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服务系统的家庭农场，</w:t>
      </w:r>
      <w:r>
        <w:rPr>
          <w:rFonts w:hint="default" w:ascii="Times New Roman" w:hAnsi="Times New Roman" w:eastAsia="方正仿宋_GBK" w:cs="Times New Roman"/>
          <w:color w:val="000000"/>
          <w:sz w:val="32"/>
          <w:szCs w:val="32"/>
          <w:lang w:eastAsia="zh-CN"/>
        </w:rPr>
        <w:t>改善生产设施条件，应用先进使用技术，加强品牌建设，开展标准化生产，拓展营销渠道，提高生产经营发展水平，提升联农带农服务能力。</w:t>
      </w:r>
      <w:r>
        <w:rPr>
          <w:rFonts w:hint="default" w:ascii="Times New Roman" w:hAnsi="Times New Roman" w:eastAsia="方正仿宋_GBK" w:cs="Times New Roman"/>
          <w:b/>
          <w:bCs/>
          <w:color w:val="000000"/>
          <w:sz w:val="32"/>
          <w:szCs w:val="32"/>
          <w:highlight w:val="none"/>
          <w:lang w:val="en-US" w:eastAsia="zh-CN"/>
        </w:rPr>
        <w:t>三是</w:t>
      </w:r>
      <w:r>
        <w:rPr>
          <w:rFonts w:hint="default" w:ascii="Times New Roman" w:hAnsi="Times New Roman" w:eastAsia="方正仿宋_GBK" w:cs="Times New Roman"/>
          <w:color w:val="000000"/>
          <w:sz w:val="32"/>
          <w:szCs w:val="32"/>
          <w:highlight w:val="none"/>
          <w:lang w:val="en-US" w:eastAsia="zh-CN"/>
        </w:rPr>
        <w:t>支持宜良县等10个县实施奶业新型经营主体项目，引导辖区内奶业新型经营主体高质量发展，提高生产效率和生产经营能力，促进奶业新型经营主体与现代奶业发展有机衔接。</w:t>
      </w:r>
    </w:p>
    <w:p w14:paraId="2E1584D9">
      <w:pPr>
        <w:pStyle w:val="2"/>
        <w:keepNext w:val="0"/>
        <w:keepLines w:val="0"/>
        <w:pageBreakBefore w:val="0"/>
        <w:kinsoku/>
        <w:wordWrap/>
        <w:overflowPunct/>
        <w:topLinePunct w:val="0"/>
        <w:bidi w:val="0"/>
        <w:adjustRightInd w:val="0"/>
        <w:snapToGrid/>
        <w:spacing w:line="630" w:lineRule="exact"/>
        <w:ind w:firstLine="642" w:firstLineChars="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二、</w:t>
      </w:r>
      <w:bookmarkStart w:id="2" w:name="OLE_LINK11"/>
      <w:r>
        <w:rPr>
          <w:rFonts w:hint="default" w:ascii="Times New Roman" w:hAnsi="Times New Roman" w:eastAsia="方正黑体_GBK" w:cs="Times New Roman"/>
          <w:bCs/>
          <w:color w:val="000000"/>
          <w:sz w:val="32"/>
          <w:szCs w:val="32"/>
        </w:rPr>
        <w:t>强化高素质农民培育</w:t>
      </w:r>
    </w:p>
    <w:bookmarkEnd w:id="2"/>
    <w:p w14:paraId="04C6C921">
      <w:pPr>
        <w:pStyle w:val="2"/>
        <w:keepNext w:val="0"/>
        <w:keepLines w:val="0"/>
        <w:pageBreakBefore w:val="0"/>
        <w:kinsoku/>
        <w:wordWrap/>
        <w:overflowPunct/>
        <w:topLinePunct w:val="0"/>
        <w:bidi w:val="0"/>
        <w:adjustRightInd w:val="0"/>
        <w:snapToGrid/>
        <w:spacing w:line="630" w:lineRule="exact"/>
        <w:ind w:firstLine="642" w:firstLineChars="0"/>
        <w:contextualSpacing/>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b w:val="0"/>
          <w:bCs/>
          <w:color w:val="000000"/>
          <w:kern w:val="2"/>
          <w:sz w:val="32"/>
          <w:szCs w:val="32"/>
          <w:lang w:val="en-US" w:eastAsia="zh-CN" w:bidi="ar-SA"/>
        </w:rPr>
        <w:t>（一）推进高素质农民培育工作。</w:t>
      </w:r>
      <w:r>
        <w:rPr>
          <w:rFonts w:hint="default" w:ascii="Times New Roman" w:hAnsi="Times New Roman" w:eastAsia="方正仿宋_GBK" w:cs="Times New Roman"/>
          <w:color w:val="000000"/>
          <w:sz w:val="32"/>
          <w:szCs w:val="32"/>
        </w:rPr>
        <w:t>2025年高素质农民培育工作</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聚焦全省</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lang w:val="en-US" w:eastAsia="zh-CN"/>
        </w:rPr>
        <w:t>1+10+3</w:t>
      </w:r>
      <w:r>
        <w:rPr>
          <w:rFonts w:hint="eastAsia" w:ascii="Times New Roman" w:hAnsi="Times New Roman" w:eastAsia="方正仿宋_GBK" w:cs="Times New Roman"/>
          <w:color w:val="000000"/>
          <w:sz w:val="32"/>
          <w:szCs w:val="32"/>
          <w:lang w:val="en-US" w:eastAsia="zh-CN"/>
        </w:rPr>
        <w:t>”重点</w:t>
      </w:r>
      <w:r>
        <w:rPr>
          <w:rFonts w:hint="default" w:ascii="Times New Roman" w:hAnsi="Times New Roman" w:eastAsia="方正仿宋_GBK" w:cs="Times New Roman"/>
          <w:color w:val="000000"/>
          <w:sz w:val="32"/>
          <w:szCs w:val="32"/>
          <w:lang w:val="en-US" w:eastAsia="zh-CN"/>
        </w:rPr>
        <w:t>农业产业发展和乡村治理，</w:t>
      </w:r>
      <w:r>
        <w:rPr>
          <w:rFonts w:hint="default" w:ascii="Times New Roman" w:hAnsi="Times New Roman" w:eastAsia="方正仿宋_GBK" w:cs="Times New Roman"/>
          <w:color w:val="000000"/>
          <w:sz w:val="32"/>
          <w:szCs w:val="32"/>
        </w:rPr>
        <w:t>坚持需求导向、质量优先、突出实效，坚持分层实施、分级管理、育用结合，</w:t>
      </w:r>
      <w:r>
        <w:rPr>
          <w:rFonts w:hint="default" w:ascii="Times New Roman" w:hAnsi="Times New Roman" w:eastAsia="方正仿宋_GBK" w:cs="Times New Roman"/>
          <w:color w:val="000000"/>
          <w:sz w:val="32"/>
          <w:szCs w:val="32"/>
          <w:lang w:eastAsia="zh-CN"/>
        </w:rPr>
        <w:t>以</w:t>
      </w:r>
      <w:r>
        <w:rPr>
          <w:rFonts w:hint="default" w:ascii="Times New Roman" w:hAnsi="Times New Roman" w:eastAsia="方正仿宋_GBK" w:cs="Times New Roman"/>
          <w:color w:val="000000"/>
          <w:sz w:val="32"/>
          <w:szCs w:val="32"/>
        </w:rPr>
        <w:t>提升农民技术技能水平、产业发展能力和综合素质素养</w:t>
      </w:r>
      <w:r>
        <w:rPr>
          <w:rFonts w:hint="default" w:ascii="Times New Roman" w:hAnsi="Times New Roman" w:eastAsia="方正仿宋_GBK" w:cs="Times New Roman"/>
          <w:color w:val="000000"/>
          <w:sz w:val="32"/>
          <w:szCs w:val="32"/>
          <w:lang w:eastAsia="zh-CN"/>
        </w:rPr>
        <w:t>为目标</w:t>
      </w:r>
      <w:r>
        <w:rPr>
          <w:rFonts w:hint="default" w:ascii="Times New Roman" w:hAnsi="Times New Roman" w:eastAsia="方正仿宋_GBK" w:cs="Times New Roman"/>
          <w:color w:val="000000"/>
          <w:sz w:val="32"/>
          <w:szCs w:val="32"/>
        </w:rPr>
        <w:t>，重点</w:t>
      </w:r>
      <w:r>
        <w:rPr>
          <w:rFonts w:hint="default" w:ascii="Times New Roman" w:hAnsi="Times New Roman" w:eastAsia="方正仿宋_GBK" w:cs="Times New Roman"/>
          <w:color w:val="000000"/>
          <w:sz w:val="32"/>
          <w:szCs w:val="32"/>
          <w:lang w:eastAsia="zh-CN"/>
        </w:rPr>
        <w:t>支持</w:t>
      </w:r>
      <w:r>
        <w:rPr>
          <w:rFonts w:hint="default" w:ascii="Times New Roman" w:hAnsi="Times New Roman" w:eastAsia="方正仿宋_GBK" w:cs="Times New Roman"/>
          <w:color w:val="000000"/>
          <w:sz w:val="32"/>
          <w:szCs w:val="32"/>
        </w:rPr>
        <w:t>实施粮油和重要农产品生产经营主体提升工程、新产业新业态带头人培育工程、文明乡风建设素质素养提升工程</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持续推进2024—2025年晋宁区、古城区、元谋县、丘北县学用贯通试点工作；</w:t>
      </w:r>
      <w:r>
        <w:rPr>
          <w:rFonts w:hint="default" w:ascii="Times New Roman" w:hAnsi="Times New Roman" w:eastAsia="方正仿宋_GBK" w:cs="Times New Roman"/>
          <w:color w:val="000000"/>
          <w:sz w:val="32"/>
          <w:szCs w:val="32"/>
        </w:rPr>
        <w:t>针对行业急需、人才培养短板弱项、产业发展痛点难点等，举办农机手技能提升、新型农业经营主体数字化技能应用能力提升、乡土文化能人专题培训班</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拓宽</w:t>
      </w:r>
      <w:r>
        <w:rPr>
          <w:rFonts w:hint="default" w:ascii="Times New Roman" w:hAnsi="Times New Roman" w:eastAsia="方正仿宋_GBK" w:cs="Times New Roman"/>
          <w:color w:val="000000"/>
          <w:sz w:val="32"/>
          <w:szCs w:val="32"/>
          <w:lang w:eastAsia="zh-CN"/>
        </w:rPr>
        <w:t>培育</w:t>
      </w:r>
      <w:r>
        <w:rPr>
          <w:rFonts w:hint="default" w:ascii="Times New Roman" w:hAnsi="Times New Roman" w:eastAsia="方正仿宋_GBK" w:cs="Times New Roman"/>
          <w:color w:val="000000"/>
          <w:sz w:val="32"/>
          <w:szCs w:val="32"/>
        </w:rPr>
        <w:t>内容，创新培育方式，探索培育路径，统筹多方资源，</w:t>
      </w:r>
      <w:r>
        <w:rPr>
          <w:rFonts w:hint="default" w:ascii="Times New Roman" w:hAnsi="Times New Roman" w:eastAsia="方正仿宋_GBK" w:cs="Times New Roman"/>
          <w:color w:val="000000"/>
          <w:sz w:val="32"/>
          <w:szCs w:val="32"/>
          <w:lang w:val="en-US" w:eastAsia="zh-CN"/>
        </w:rPr>
        <w:t>积极</w:t>
      </w:r>
      <w:r>
        <w:rPr>
          <w:rFonts w:hint="default" w:ascii="Times New Roman" w:hAnsi="Times New Roman" w:eastAsia="方正仿宋_GBK" w:cs="Times New Roman"/>
          <w:color w:val="000000"/>
          <w:sz w:val="32"/>
          <w:szCs w:val="32"/>
        </w:rPr>
        <w:t>探索教育培训和就业创业学用结合双向培育等模式</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为推进乡村全面振兴、建设农业强国提供坚实人才保障。</w:t>
      </w:r>
    </w:p>
    <w:p w14:paraId="22F5947D">
      <w:pPr>
        <w:keepNext w:val="0"/>
        <w:keepLines w:val="0"/>
        <w:pageBreakBefore w:val="0"/>
        <w:kinsoku/>
        <w:wordWrap/>
        <w:overflowPunct/>
        <w:topLinePunct w:val="0"/>
        <w:bidi w:val="0"/>
        <w:snapToGrid/>
        <w:spacing w:line="630" w:lineRule="exact"/>
        <w:ind w:firstLine="640"/>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楷体_GBK" w:cs="Times New Roman"/>
          <w:b w:val="0"/>
          <w:bCs/>
          <w:color w:val="000000"/>
          <w:kern w:val="2"/>
          <w:sz w:val="32"/>
          <w:szCs w:val="32"/>
          <w:lang w:val="en-US" w:eastAsia="zh-CN" w:bidi="ar-SA"/>
        </w:rPr>
        <w:t>（二）扎实推进农村实用人才带头人培训。</w:t>
      </w:r>
      <w:r>
        <w:rPr>
          <w:rFonts w:hint="default" w:ascii="Times New Roman" w:hAnsi="Times New Roman" w:eastAsia="方正仿宋_GBK" w:cs="Times New Roman"/>
          <w:color w:val="000000"/>
          <w:kern w:val="2"/>
          <w:sz w:val="32"/>
          <w:szCs w:val="32"/>
          <w:lang w:val="en-US" w:eastAsia="zh-CN" w:bidi="ar-SA"/>
        </w:rPr>
        <w:t>围绕乡村发展、乡村建设、乡村治理等主题，对新型农业经营主体带头人、村</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两委</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班子成员、党员骨干、到村任职选调生等开展培训，帮助学员开阔视野、学习政策、拓展思路、提升能力。2025年计划开展培训9期、900人。</w:t>
      </w:r>
    </w:p>
    <w:p w14:paraId="5EE0498F">
      <w:pPr>
        <w:keepNext w:val="0"/>
        <w:keepLines w:val="0"/>
        <w:pageBreakBefore w:val="0"/>
        <w:widowControl w:val="0"/>
        <w:kinsoku/>
        <w:wordWrap/>
        <w:overflowPunct/>
        <w:topLinePunct w:val="0"/>
        <w:autoSpaceDE/>
        <w:autoSpaceDN/>
        <w:bidi w:val="0"/>
        <w:snapToGrid/>
        <w:spacing w:line="630" w:lineRule="exact"/>
        <w:ind w:firstLine="640"/>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楷体_GBK" w:cs="Times New Roman"/>
          <w:b w:val="0"/>
          <w:bCs/>
          <w:color w:val="000000"/>
          <w:kern w:val="2"/>
          <w:sz w:val="32"/>
          <w:szCs w:val="32"/>
          <w:lang w:val="en-US" w:eastAsia="zh-CN" w:bidi="ar-SA"/>
        </w:rPr>
        <w:t>（三）持续实施乡村产业振兴带头人培育</w:t>
      </w:r>
      <w:r>
        <w:rPr>
          <w:rFonts w:hint="eastAsia" w:ascii="Times New Roman" w:hAnsi="Times New Roman" w:eastAsia="方正楷体_GBK" w:cs="Times New Roman"/>
          <w:b w:val="0"/>
          <w:bCs/>
          <w:color w:val="000000"/>
          <w:kern w:val="2"/>
          <w:sz w:val="32"/>
          <w:szCs w:val="32"/>
          <w:lang w:val="en-US" w:eastAsia="zh-CN" w:bidi="ar-SA"/>
        </w:rPr>
        <w:t>“</w:t>
      </w:r>
      <w:r>
        <w:rPr>
          <w:rFonts w:hint="default" w:ascii="Times New Roman" w:hAnsi="Times New Roman" w:eastAsia="方正楷体_GBK" w:cs="Times New Roman"/>
          <w:b w:val="0"/>
          <w:bCs/>
          <w:color w:val="000000"/>
          <w:kern w:val="2"/>
          <w:sz w:val="32"/>
          <w:szCs w:val="32"/>
          <w:lang w:val="en-US" w:eastAsia="zh-CN" w:bidi="ar-SA"/>
        </w:rPr>
        <w:t>头雁</w:t>
      </w:r>
      <w:r>
        <w:rPr>
          <w:rFonts w:hint="eastAsia" w:ascii="Times New Roman" w:hAnsi="Times New Roman" w:eastAsia="方正楷体_GBK" w:cs="Times New Roman"/>
          <w:b w:val="0"/>
          <w:bCs/>
          <w:color w:val="000000"/>
          <w:kern w:val="2"/>
          <w:sz w:val="32"/>
          <w:szCs w:val="32"/>
          <w:lang w:val="en-US" w:eastAsia="zh-CN" w:bidi="ar-SA"/>
        </w:rPr>
        <w:t>”</w:t>
      </w:r>
      <w:r>
        <w:rPr>
          <w:rFonts w:hint="default" w:ascii="Times New Roman" w:hAnsi="Times New Roman" w:eastAsia="方正楷体_GBK" w:cs="Times New Roman"/>
          <w:b w:val="0"/>
          <w:bCs/>
          <w:color w:val="000000"/>
          <w:kern w:val="2"/>
          <w:sz w:val="32"/>
          <w:szCs w:val="32"/>
          <w:lang w:val="en-US" w:eastAsia="zh-CN" w:bidi="ar-SA"/>
        </w:rPr>
        <w:t>项目。</w:t>
      </w:r>
      <w:r>
        <w:rPr>
          <w:rFonts w:hint="default" w:ascii="Times New Roman" w:hAnsi="Times New Roman" w:eastAsia="方正仿宋_GBK" w:cs="Times New Roman"/>
          <w:color w:val="000000"/>
          <w:kern w:val="2"/>
          <w:sz w:val="32"/>
          <w:szCs w:val="32"/>
          <w:lang w:val="en-US" w:eastAsia="zh-CN" w:bidi="ar-SA"/>
        </w:rPr>
        <w:t>面向新型农业经营主体带头人等，认真组织学员遴选。按规定采取政府采购的方式优选培育机构。采取累计一个月集中授课、一学期线上学习、一系列考察互访、一名导师帮扶指导的</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4个一</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培育模式，对带头人开展为期1年的定制化、体验式、孵化型培育。加强综合支持，为带头人成长为</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头雁</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提供支持和保障。组织引导</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头雁</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联农带农、兴农富农，切实发挥示范引领作用。2025年计划培育</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头雁</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学员800人。</w:t>
      </w:r>
    </w:p>
    <w:p w14:paraId="47E6AB5F">
      <w:pPr>
        <w:pStyle w:val="2"/>
        <w:keepNext w:val="0"/>
        <w:keepLines w:val="0"/>
        <w:pageBreakBefore w:val="0"/>
        <w:widowControl w:val="0"/>
        <w:kinsoku/>
        <w:wordWrap/>
        <w:overflowPunct/>
        <w:topLinePunct w:val="0"/>
        <w:autoSpaceDE/>
        <w:autoSpaceDN/>
        <w:bidi w:val="0"/>
        <w:adjustRightInd w:val="0"/>
        <w:snapToGrid/>
        <w:spacing w:line="630" w:lineRule="exact"/>
        <w:ind w:firstLine="64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三、推广农业社会化服务</w:t>
      </w:r>
    </w:p>
    <w:p w14:paraId="327CBDC3">
      <w:pPr>
        <w:pStyle w:val="2"/>
        <w:keepNext w:val="0"/>
        <w:keepLines w:val="0"/>
        <w:pageBreakBefore w:val="0"/>
        <w:widowControl w:val="0"/>
        <w:kinsoku/>
        <w:wordWrap/>
        <w:overflowPunct/>
        <w:topLinePunct w:val="0"/>
        <w:autoSpaceDE/>
        <w:autoSpaceDN/>
        <w:bidi w:val="0"/>
        <w:adjustRightInd w:val="0"/>
        <w:snapToGrid/>
        <w:spacing w:line="630" w:lineRule="exact"/>
        <w:ind w:firstLine="640"/>
        <w:contextualSpacing/>
        <w:rPr>
          <w:rFonts w:hint="default" w:ascii="Times New Roman" w:hAnsi="Times New Roman" w:eastAsia="方正仿宋_GBK" w:cs="Times New Roman"/>
          <w:color w:val="000000"/>
          <w:kern w:val="2"/>
          <w:sz w:val="32"/>
          <w:szCs w:val="32"/>
          <w:lang w:val="en-US" w:eastAsia="zh-CN" w:bidi="ar-SA"/>
        </w:rPr>
      </w:pPr>
      <w:bookmarkStart w:id="3" w:name="OLE_LINK2"/>
      <w:r>
        <w:rPr>
          <w:rFonts w:hint="default" w:ascii="Times New Roman" w:hAnsi="Times New Roman" w:eastAsia="方正仿宋_GBK" w:cs="Times New Roman"/>
          <w:color w:val="000000"/>
          <w:kern w:val="2"/>
          <w:sz w:val="32"/>
          <w:szCs w:val="32"/>
          <w:lang w:val="en-US" w:eastAsia="zh-CN" w:bidi="ar-SA"/>
        </w:rPr>
        <w:t>全省支持开展粮油糖类作物的农业生产托管任务面积85.5万亩。将粮油作物大面积单产提升等先进实用技术作为重要内容，鼓励各类服务主体推广应用集成配套的综合性解决方案，促进高产高质、节本减损；关键环节服务补助应聚焦粮食精量播种、节水灌溉、丘陵山区急需等短板。引导各类服务主体为撂荒地复垦复种开展托管服务。鼓励为小农户等生产经营主体开展综合服务。各地要综合考虑资源禀赋、产业特点、劳动力转移程度、农业机械化水平和小农户生产需求等因素，因地制宜确定补助环节和作物、补助方式与标准，并加强与其他农业生产支持政策的衔接配套。积极探索将北斗辅助驾驶系统或作业监测终端的监测数据作为作业补助面积核定、补助资金发放等工作的重要参考依据。要规范服务主体遴选、公示公开项目信息，加强对作业过程和效果的监督评价，建立健全服务主体</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黑名单</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制度，切实防范虚假作业等骗补套补行为。各地农业农村部门和相关地区供销合作社要切实加强风险防控，完善项目资金使用管理效益，健全监管机制，开展全面排查，及时梳理解决问题，提升资金使用效益。</w:t>
      </w:r>
    </w:p>
    <w:p w14:paraId="7DB5420B">
      <w:pPr>
        <w:pStyle w:val="2"/>
        <w:keepNext w:val="0"/>
        <w:keepLines w:val="0"/>
        <w:pageBreakBefore w:val="0"/>
        <w:kinsoku/>
        <w:wordWrap/>
        <w:overflowPunct/>
        <w:topLinePunct w:val="0"/>
        <w:bidi w:val="0"/>
        <w:adjustRightInd w:val="0"/>
        <w:snapToGrid/>
        <w:spacing w:line="630" w:lineRule="exact"/>
        <w:ind w:firstLine="640"/>
        <w:contextualSpacing/>
        <w:rPr>
          <w:rFonts w:hint="default" w:ascii="Times New Roman" w:hAnsi="Times New Roman" w:eastAsia="方正黑体_GBK" w:cs="Times New Roman"/>
          <w:bCs/>
          <w:color w:val="000000"/>
          <w:sz w:val="32"/>
          <w:szCs w:val="32"/>
        </w:rPr>
      </w:pPr>
      <w:r>
        <w:rPr>
          <w:rFonts w:hint="default" w:ascii="Times New Roman" w:hAnsi="Times New Roman" w:eastAsia="方正黑体_GBK" w:cs="Times New Roman"/>
          <w:bCs/>
          <w:color w:val="000000"/>
          <w:sz w:val="32"/>
          <w:szCs w:val="32"/>
        </w:rPr>
        <w:t>四、加强基层农技推广体系改革与建设</w:t>
      </w:r>
    </w:p>
    <w:bookmarkEnd w:id="3"/>
    <w:p w14:paraId="59E6C66B">
      <w:pPr>
        <w:keepNext w:val="0"/>
        <w:keepLines w:val="0"/>
        <w:pageBreakBefore w:val="0"/>
        <w:kinsoku/>
        <w:wordWrap/>
        <w:overflowPunct/>
        <w:topLinePunct w:val="0"/>
        <w:bidi w:val="0"/>
        <w:snapToGrid/>
        <w:spacing w:line="630" w:lineRule="exact"/>
        <w:ind w:firstLine="640"/>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贯彻落实《云南省农业技术推广效能提升三年行动方案（2024—2026年）》，强化基层农技推广体系公益性服务功能，持续提升基层农技推广体系服务效能。围绕我省粮油作物大面积单产提升和高原特色现代农业发展，遴选发布一批农业主导品种主推技术，开展科技服务</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揭榜挂帅</w:t>
      </w:r>
      <w:r>
        <w:rPr>
          <w:rFonts w:hint="eastAsia" w:ascii="Times New Roman" w:hAnsi="Times New Roman" w:eastAsia="方正仿宋_GBK" w:cs="Times New Roman"/>
          <w:color w:val="000000"/>
          <w:kern w:val="2"/>
          <w:sz w:val="32"/>
          <w:szCs w:val="32"/>
          <w:lang w:val="en-US" w:eastAsia="zh-CN" w:bidi="ar-SA"/>
        </w:rPr>
        <w:t>”</w:t>
      </w:r>
      <w:r>
        <w:rPr>
          <w:rFonts w:hint="default" w:ascii="Times New Roman" w:hAnsi="Times New Roman" w:eastAsia="方正仿宋_GBK" w:cs="Times New Roman"/>
          <w:color w:val="000000"/>
          <w:kern w:val="2"/>
          <w:sz w:val="32"/>
          <w:szCs w:val="32"/>
          <w:lang w:val="en-US" w:eastAsia="zh-CN" w:bidi="ar-SA"/>
        </w:rPr>
        <w:t>工作。向生物育种产业化县和国家级乡村振兴重点帮扶县等重点工作任务县倾斜。提升基层农技推广队伍素质、打造先进农业科技展示场所、培育农业科技示范主体、促进农业科技社会化服务发展、实施农技推广特聘计划、加强农技推广服务信息化建设。</w:t>
      </w:r>
    </w:p>
    <w:p w14:paraId="564965DA">
      <w:pPr>
        <w:keepNext w:val="0"/>
        <w:keepLines w:val="0"/>
        <w:pageBreakBefore w:val="0"/>
        <w:kinsoku/>
        <w:wordWrap/>
        <w:overflowPunct/>
        <w:topLinePunct w:val="0"/>
        <w:bidi w:val="0"/>
        <w:snapToGrid/>
        <w:spacing w:line="630" w:lineRule="exact"/>
        <w:ind w:firstLine="643"/>
        <w:rPr>
          <w:rFonts w:hint="default" w:ascii="Times New Roman" w:hAnsi="Times New Roman" w:eastAsia="方正黑体_GBK" w:cs="Times New Roman"/>
          <w:bCs/>
          <w:color w:val="000000"/>
          <w:sz w:val="32"/>
          <w:szCs w:val="32"/>
          <w:highlight w:val="none"/>
          <w:lang w:val="en-US" w:eastAsia="zh-CN"/>
        </w:rPr>
      </w:pPr>
      <w:bookmarkStart w:id="4" w:name="OLE_LINK12"/>
      <w:r>
        <w:rPr>
          <w:rFonts w:hint="default" w:ascii="Times New Roman" w:hAnsi="Times New Roman" w:eastAsia="方正黑体_GBK" w:cs="Times New Roman"/>
          <w:bCs/>
          <w:color w:val="000000"/>
          <w:sz w:val="32"/>
          <w:szCs w:val="32"/>
          <w:highlight w:val="none"/>
        </w:rPr>
        <w:t>五、充分发挥</w:t>
      </w:r>
      <w:r>
        <w:rPr>
          <w:rFonts w:hint="default" w:ascii="Times New Roman" w:hAnsi="Times New Roman" w:eastAsia="方正黑体_GBK" w:cs="Times New Roman"/>
          <w:bCs/>
          <w:color w:val="000000"/>
          <w:sz w:val="32"/>
          <w:szCs w:val="32"/>
          <w:highlight w:val="none"/>
          <w:lang w:val="en-US" w:eastAsia="zh-CN"/>
        </w:rPr>
        <w:t>全国</w:t>
      </w:r>
      <w:r>
        <w:rPr>
          <w:rFonts w:hint="default" w:ascii="Times New Roman" w:hAnsi="Times New Roman" w:eastAsia="方正黑体_GBK" w:cs="Times New Roman"/>
          <w:bCs/>
          <w:color w:val="000000"/>
          <w:sz w:val="32"/>
          <w:szCs w:val="32"/>
          <w:highlight w:val="none"/>
        </w:rPr>
        <w:t>农担体系</w:t>
      </w:r>
      <w:r>
        <w:rPr>
          <w:rFonts w:hint="default" w:ascii="Times New Roman" w:hAnsi="Times New Roman" w:eastAsia="方正黑体_GBK" w:cs="Times New Roman"/>
          <w:bCs/>
          <w:color w:val="000000"/>
          <w:sz w:val="32"/>
          <w:szCs w:val="32"/>
          <w:highlight w:val="none"/>
          <w:lang w:val="en-US" w:eastAsia="zh-CN"/>
        </w:rPr>
        <w:t>政策效能</w:t>
      </w:r>
    </w:p>
    <w:p w14:paraId="4972ABD1">
      <w:pPr>
        <w:keepNext w:val="0"/>
        <w:keepLines w:val="0"/>
        <w:pageBreakBefore w:val="0"/>
        <w:kinsoku/>
        <w:wordWrap/>
        <w:overflowPunct/>
        <w:topLinePunct w:val="0"/>
        <w:bidi w:val="0"/>
        <w:snapToGrid/>
        <w:spacing w:line="630" w:lineRule="exact"/>
        <w:ind w:firstLine="643"/>
        <w:rPr>
          <w:rFonts w:hint="default" w:ascii="Times New Roman" w:hAnsi="Times New Roman" w:eastAsia="方正仿宋_GBK" w:cs="Times New Roman"/>
          <w:color w:val="000000"/>
          <w:sz w:val="32"/>
          <w:szCs w:val="32"/>
          <w:highlight w:val="none"/>
        </w:rPr>
      </w:pPr>
      <w:r>
        <w:rPr>
          <w:rFonts w:hint="default" w:ascii="Times New Roman" w:hAnsi="Times New Roman" w:eastAsia="方正仿宋_GBK" w:cs="Times New Roman"/>
          <w:color w:val="000000"/>
          <w:sz w:val="32"/>
          <w:szCs w:val="32"/>
          <w:highlight w:val="none"/>
        </w:rPr>
        <w:t>指导农担公司进一步强化政策性定位，严格执行</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双控</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规定，聚焦支持粮油种植等重点领域以及云南</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1+10+3</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高原特色农业产业的适度规模经营主体。 严格落实</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五独立</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要求，以独立性来保障政策性、专注性，坚持稳增长与防风险并重，结合云南省实际，将放大倍数控制在安全合理范围之内，加强风险处置和追偿力度。对于</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见贷即保</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类业务，抓紧摸清</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底数</w:t>
      </w:r>
      <w:r>
        <w:rPr>
          <w:rFonts w:hint="eastAsia" w:ascii="Times New Roman" w:hAnsi="Times New Roman" w:eastAsia="方正仿宋_GBK" w:cs="Times New Roman"/>
          <w:color w:val="000000"/>
          <w:sz w:val="32"/>
          <w:szCs w:val="32"/>
          <w:highlight w:val="none"/>
          <w:lang w:eastAsia="zh-CN"/>
        </w:rPr>
        <w:t>”</w:t>
      </w:r>
      <w:r>
        <w:rPr>
          <w:rFonts w:hint="default" w:ascii="Times New Roman" w:hAnsi="Times New Roman" w:eastAsia="方正仿宋_GBK" w:cs="Times New Roman"/>
          <w:color w:val="000000"/>
          <w:sz w:val="32"/>
          <w:szCs w:val="32"/>
          <w:highlight w:val="none"/>
        </w:rPr>
        <w:t>，整改消化存量，严禁新发展业务。完善银担合作机制，推动银行机构进一步降低涉农贷款利率水平，促进综合融资成本持续下降。支持加快农担业务全流程信息化建设，持续提升农担业务数据准确性、规范性，与全国农担体系数据资源平台实现高质量互联互通。</w:t>
      </w:r>
    </w:p>
    <w:p w14:paraId="2F1B0B72">
      <w:pPr>
        <w:keepNext w:val="0"/>
        <w:keepLines w:val="0"/>
        <w:pageBreakBefore w:val="0"/>
        <w:kinsoku/>
        <w:wordWrap/>
        <w:overflowPunct/>
        <w:topLinePunct w:val="0"/>
        <w:bidi w:val="0"/>
        <w:snapToGrid/>
        <w:spacing w:line="630" w:lineRule="exact"/>
        <w:ind w:firstLine="643"/>
        <w:rPr>
          <w:rFonts w:hint="default" w:ascii="Times New Roman" w:hAnsi="Times New Roman" w:eastAsia="方正仿宋_GBK" w:cs="Times New Roman"/>
          <w:color w:val="000000"/>
          <w:sz w:val="32"/>
          <w:szCs w:val="32"/>
          <w:highlight w:val="none"/>
        </w:rPr>
        <w:sectPr>
          <w:pgSz w:w="11906" w:h="16838"/>
          <w:pgMar w:top="2098" w:right="1587" w:bottom="2041" w:left="1587" w:header="851" w:footer="1587" w:gutter="0"/>
          <w:pgNumType w:fmt="decimal"/>
          <w:cols w:space="720" w:num="1"/>
          <w:rtlGutter w:val="0"/>
          <w:docGrid w:type="lines" w:linePitch="437" w:charSpace="0"/>
        </w:sectPr>
      </w:pPr>
    </w:p>
    <w:bookmarkEnd w:id="4"/>
    <w:p w14:paraId="6985DDDA">
      <w:bookmarkStart w:id="5" w:name="_GoBack"/>
      <w:bookmarkEnd w:id="5"/>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方正黑体_GBK">
    <w:panose1 w:val="0201060001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C235B1"/>
    <w:rsid w:val="59C235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napToGrid w:val="0"/>
      <w:spacing w:line="300" w:lineRule="auto"/>
      <w:ind w:firstLine="556"/>
    </w:pPr>
    <w:rPr>
      <w:rFonts w:ascii="??_GB2312" w:eastAsia="Times New Roman" w:cs="??_GB2312"/>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8</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2025-07-01T02:06:00Z</dcterms:created>
  <dc:creator>莫语</dc:creator>
  <cp:lastModifiedBy>莫语</cp:lastModifiedBy>
  <dcterms:modified xsi:type="dcterms:W3CDTF">2025-07-01T02:07:00Z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9E2DE1E9E0EB48AD9DCC298A6C2311A7_11</vt:lpwstr>
  </property>
  <property fmtid="{D5CDD505-2E9C-101B-9397-08002B2CF9AE}" pid="4" name="KSOTemplateDocerSaveRecord">
    <vt:lpwstr>eyJoZGlkIjoiOWYzOGRiNDNiM2UxMzI1NzY2YjQ2MDA1ODRkNTQzY2YiLCJ1c2VySWQiOiIzNDA1ODU0MDcifQ==</vt:lpwstr>
  </property>
</Properties>
</file>