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5CC47">
      <w:pPr>
        <w:keepNext w:val="0"/>
        <w:keepLines w:val="0"/>
        <w:pageBreakBefore w:val="0"/>
        <w:kinsoku/>
        <w:wordWrap/>
        <w:overflowPunct/>
        <w:topLinePunct w:val="0"/>
        <w:bidi w:val="0"/>
        <w:snapToGrid/>
        <w:spacing w:line="63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附件2</w:t>
      </w:r>
    </w:p>
    <w:p w14:paraId="10C395A0">
      <w:pPr>
        <w:keepNext w:val="0"/>
        <w:keepLines w:val="0"/>
        <w:pageBreakBefore w:val="0"/>
        <w:kinsoku/>
        <w:wordWrap/>
        <w:overflowPunct/>
        <w:topLinePunct w:val="0"/>
        <w:bidi w:val="0"/>
        <w:adjustRightInd w:val="0"/>
        <w:snapToGrid/>
        <w:spacing w:line="630" w:lineRule="exact"/>
        <w:ind w:firstLine="643" w:firstLineChars="200"/>
        <w:contextualSpacing/>
        <w:jc w:val="center"/>
        <w:rPr>
          <w:rFonts w:hint="default" w:ascii="Times New Roman" w:hAnsi="Times New Roman" w:eastAsia="方正仿宋_GBK" w:cs="Times New Roman"/>
          <w:b/>
          <w:color w:val="000000"/>
          <w:sz w:val="32"/>
          <w:szCs w:val="32"/>
        </w:rPr>
      </w:pPr>
    </w:p>
    <w:p w14:paraId="6EBC4196">
      <w:pPr>
        <w:keepNext w:val="0"/>
        <w:keepLines w:val="0"/>
        <w:pageBreakBefore w:val="0"/>
        <w:kinsoku/>
        <w:wordWrap/>
        <w:overflowPunct/>
        <w:topLinePunct w:val="0"/>
        <w:bidi w:val="0"/>
        <w:adjustRightInd w:val="0"/>
        <w:snapToGrid/>
        <w:spacing w:line="630" w:lineRule="exact"/>
        <w:contextualSpacing/>
        <w:jc w:val="center"/>
        <w:rPr>
          <w:rFonts w:hint="default" w:ascii="Times New Roman" w:hAnsi="Times New Roman" w:eastAsia="方正小标宋_GBK" w:cs="Times New Roman"/>
          <w:b w:val="0"/>
          <w:bCs/>
          <w:color w:val="000000"/>
          <w:sz w:val="44"/>
          <w:szCs w:val="44"/>
        </w:rPr>
      </w:pPr>
      <w:r>
        <w:rPr>
          <w:rFonts w:hint="default" w:ascii="Times New Roman" w:hAnsi="Times New Roman" w:eastAsia="方正小标宋_GBK" w:cs="Times New Roman"/>
          <w:b w:val="0"/>
          <w:bCs/>
          <w:color w:val="000000"/>
          <w:sz w:val="44"/>
          <w:szCs w:val="44"/>
        </w:rPr>
        <w:t>耕地建设与利用资金项目实施</w:t>
      </w:r>
      <w:r>
        <w:rPr>
          <w:rFonts w:hint="default" w:ascii="Times New Roman" w:hAnsi="Times New Roman" w:eastAsia="方正小标宋_GBK" w:cs="Times New Roman"/>
          <w:b w:val="0"/>
          <w:bCs/>
          <w:color w:val="000000"/>
          <w:sz w:val="44"/>
          <w:szCs w:val="44"/>
          <w:lang w:eastAsia="zh-CN"/>
        </w:rPr>
        <w:t>方案</w:t>
      </w:r>
    </w:p>
    <w:p w14:paraId="66CD5CA1">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bCs/>
          <w:color w:val="000000"/>
          <w:sz w:val="32"/>
          <w:szCs w:val="32"/>
        </w:rPr>
      </w:pPr>
    </w:p>
    <w:p w14:paraId="28294C8A">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rPr>
        <w:t>一、稳定实施耕地地力保护补贴</w:t>
      </w:r>
    </w:p>
    <w:p w14:paraId="4D1116B3">
      <w:pPr>
        <w:keepNext w:val="0"/>
        <w:keepLines w:val="0"/>
        <w:pageBreakBefore w:val="0"/>
        <w:widowControl w:val="0"/>
        <w:numPr>
          <w:ilvl w:val="0"/>
          <w:numId w:val="0"/>
        </w:numPr>
        <w:kinsoku/>
        <w:wordWrap/>
        <w:overflowPunct/>
        <w:topLinePunct w:val="0"/>
        <w:autoSpaceDE/>
        <w:autoSpaceDN/>
        <w:bidi w:val="0"/>
        <w:adjustRightInd/>
        <w:snapToGrid/>
        <w:spacing w:line="630" w:lineRule="exact"/>
        <w:ind w:right="0" w:rightChars="0" w:firstLine="640" w:firstLineChars="200"/>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各地要按规定科学确定耕地地力保护补贴发放依据、对象、标准等</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优化资金测算分配方式</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确保</w:t>
      </w:r>
      <w:r>
        <w:rPr>
          <w:rFonts w:hint="default" w:ascii="Times New Roman" w:hAnsi="Times New Roman" w:eastAsia="方正仿宋_GBK" w:cs="Times New Roman"/>
          <w:color w:val="000000"/>
          <w:sz w:val="32"/>
          <w:szCs w:val="32"/>
          <w:lang w:eastAsia="zh-CN"/>
        </w:rPr>
        <w:t>县域内</w:t>
      </w:r>
      <w:r>
        <w:rPr>
          <w:rFonts w:hint="default" w:ascii="Times New Roman" w:hAnsi="Times New Roman" w:eastAsia="方正仿宋_GBK" w:cs="Times New Roman"/>
          <w:color w:val="000000"/>
          <w:sz w:val="32"/>
          <w:szCs w:val="32"/>
        </w:rPr>
        <w:t>补贴标准</w:t>
      </w:r>
      <w:r>
        <w:rPr>
          <w:rFonts w:hint="eastAsia" w:ascii="Times New Roman" w:hAnsi="Times New Roman" w:eastAsia="方正仿宋_GBK" w:cs="Times New Roman"/>
          <w:color w:val="000000"/>
          <w:sz w:val="32"/>
          <w:szCs w:val="32"/>
          <w:lang w:val="en-US" w:eastAsia="zh-CN"/>
        </w:rPr>
        <w:t>统一</w:t>
      </w:r>
      <w:r>
        <w:rPr>
          <w:rFonts w:hint="default" w:ascii="Times New Roman" w:hAnsi="Times New Roman" w:eastAsia="方正仿宋_GBK" w:cs="Times New Roman"/>
          <w:color w:val="000000"/>
          <w:sz w:val="32"/>
          <w:szCs w:val="32"/>
        </w:rPr>
        <w:t>。加大补贴发放核实力度</w:t>
      </w:r>
      <w:r>
        <w:rPr>
          <w:rFonts w:hint="default" w:ascii="Times New Roman" w:hAnsi="Times New Roman" w:eastAsia="方正仿宋_GBK" w:cs="Times New Roman"/>
          <w:i w:val="0"/>
          <w:caps w:val="0"/>
          <w:color w:val="000000"/>
          <w:spacing w:val="0"/>
          <w:sz w:val="32"/>
          <w:szCs w:val="32"/>
          <w:lang w:eastAsia="zh-CN"/>
        </w:rPr>
        <w:t>。对</w:t>
      </w:r>
      <w:r>
        <w:rPr>
          <w:rFonts w:hint="default" w:ascii="Times New Roman" w:hAnsi="Times New Roman" w:eastAsia="方正仿宋_GBK" w:cs="Times New Roman"/>
          <w:b w:val="0"/>
          <w:bCs/>
          <w:i w:val="0"/>
          <w:caps w:val="0"/>
          <w:color w:val="000000"/>
          <w:spacing w:val="0"/>
          <w:sz w:val="32"/>
          <w:szCs w:val="32"/>
          <w:lang w:val="en-US" w:eastAsia="zh-CN"/>
        </w:rPr>
        <w:t>作为畜牧养殖场、渔业养殖场占用的耕地，国家已颁发林权证的林地和已颁发林权证或已享受退耕还林政策的耕地，成片耕地转为设施农业用地，非农业征（占）用等已改变用途的耕地，抛荒1年以上的耕地，占补平衡中</w:t>
      </w:r>
      <w:r>
        <w:rPr>
          <w:rFonts w:hint="eastAsia" w:ascii="Times New Roman" w:hAnsi="Times New Roman" w:eastAsia="方正仿宋_GBK" w:cs="Times New Roman"/>
          <w:b w:val="0"/>
          <w:bCs/>
          <w:i w:val="0"/>
          <w:caps w:val="0"/>
          <w:color w:val="000000"/>
          <w:spacing w:val="0"/>
          <w:sz w:val="32"/>
          <w:szCs w:val="32"/>
          <w:lang w:val="en" w:eastAsia="zh-CN"/>
        </w:rPr>
        <w:t>“</w:t>
      </w:r>
      <w:r>
        <w:rPr>
          <w:rFonts w:hint="default" w:ascii="Times New Roman" w:hAnsi="Times New Roman" w:eastAsia="方正仿宋_GBK" w:cs="Times New Roman"/>
          <w:b w:val="0"/>
          <w:bCs/>
          <w:i w:val="0"/>
          <w:caps w:val="0"/>
          <w:color w:val="000000"/>
          <w:spacing w:val="0"/>
          <w:sz w:val="32"/>
          <w:szCs w:val="32"/>
          <w:lang w:val="en-US" w:eastAsia="zh-CN"/>
        </w:rPr>
        <w:t>补</w:t>
      </w:r>
      <w:r>
        <w:rPr>
          <w:rFonts w:hint="eastAsia" w:ascii="Times New Roman" w:hAnsi="Times New Roman" w:eastAsia="方正仿宋_GBK" w:cs="Times New Roman"/>
          <w:b w:val="0"/>
          <w:bCs/>
          <w:i w:val="0"/>
          <w:caps w:val="0"/>
          <w:color w:val="000000"/>
          <w:spacing w:val="0"/>
          <w:sz w:val="32"/>
          <w:szCs w:val="32"/>
          <w:lang w:val="en" w:eastAsia="zh-CN"/>
        </w:rPr>
        <w:t>”</w:t>
      </w:r>
      <w:r>
        <w:rPr>
          <w:rFonts w:hint="default" w:ascii="Times New Roman" w:hAnsi="Times New Roman" w:eastAsia="方正仿宋_GBK" w:cs="Times New Roman"/>
          <w:b w:val="0"/>
          <w:bCs/>
          <w:i w:val="0"/>
          <w:caps w:val="0"/>
          <w:color w:val="000000"/>
          <w:spacing w:val="0"/>
          <w:sz w:val="32"/>
          <w:szCs w:val="32"/>
          <w:lang w:val="en-US" w:eastAsia="zh-CN"/>
        </w:rPr>
        <w:t>的面积和质量达不到耕种条件的耕地，擅自转为林地、园地的耕地等不予补贴。</w:t>
      </w:r>
      <w:r>
        <w:rPr>
          <w:rFonts w:hint="default" w:ascii="Times New Roman" w:hAnsi="Times New Roman" w:eastAsia="方正仿宋_GBK" w:cs="Times New Roman"/>
          <w:color w:val="000000"/>
          <w:sz w:val="32"/>
          <w:szCs w:val="32"/>
        </w:rPr>
        <w:t>对符合条件的新增耕地</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可按规定纳入补贴范围。</w:t>
      </w:r>
    </w:p>
    <w:p w14:paraId="0454261B">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w:t>
      </w:r>
      <w:r>
        <w:rPr>
          <w:rFonts w:hint="default" w:ascii="Times New Roman" w:hAnsi="Times New Roman" w:eastAsia="方正黑体_GBK" w:cs="Times New Roman"/>
          <w:color w:val="000000"/>
          <w:sz w:val="32"/>
          <w:szCs w:val="32"/>
          <w:lang w:val="en-US" w:eastAsia="zh-CN"/>
        </w:rPr>
        <w:t>推进</w:t>
      </w:r>
      <w:r>
        <w:rPr>
          <w:rFonts w:hint="default" w:ascii="Times New Roman" w:hAnsi="Times New Roman" w:eastAsia="方正黑体_GBK" w:cs="Times New Roman"/>
          <w:color w:val="000000"/>
          <w:sz w:val="32"/>
          <w:szCs w:val="32"/>
        </w:rPr>
        <w:t>高标准农田建设</w:t>
      </w:r>
    </w:p>
    <w:p w14:paraId="6B79AB00">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按照《农田建设项目管理办法》（中华人民共和国农业农村部令2019年第4号）、云南省农田建设项目系列管理规定、《云南省财政厅云南省农业农村厅关于印发〈云南省耕地建设与利用资金管理实施细则〉的通知》（云财规〔2024〕14号）等要求，省本级、州（市）、县（市、区）开展本年度高标准农田建设工作。该项任务采取因素法分配，资金采取定额法分配。任务分配标准因素为规划任务（90%）、上一年度项目建设进度（5%）和上一年度预算执行进度（5%）。经与</w:t>
      </w:r>
      <w:r>
        <w:rPr>
          <w:rFonts w:hint="eastAsia" w:ascii="Times New Roman" w:hAnsi="Times New Roman" w:eastAsia="方正仿宋_GBK" w:cs="Times New Roman"/>
          <w:color w:val="000000"/>
          <w:sz w:val="32"/>
          <w:szCs w:val="32"/>
          <w:lang w:val="en-US" w:eastAsia="zh-CN"/>
        </w:rPr>
        <w:t>省</w:t>
      </w:r>
      <w:r>
        <w:rPr>
          <w:rFonts w:hint="default" w:ascii="Times New Roman" w:hAnsi="Times New Roman" w:eastAsia="方正仿宋_GBK" w:cs="Times New Roman"/>
          <w:color w:val="000000"/>
          <w:sz w:val="32"/>
          <w:szCs w:val="32"/>
          <w:lang w:val="en-US" w:eastAsia="zh-CN"/>
        </w:rPr>
        <w:t>财政厅共同研究，将规划任务因素结合建设需求、土地出让收入上解省级统筹资金和国家级乡村振兴重点帮扶县等因素，细化为5个因素：建设需求（25%）、建设潜力（20%）、粮食产量（20%）、土地出让收入上解贡献（15%）、国家级乡村振兴重点帮扶县（10%）。因素法分解后根据各地建设潜力和申报建设需求进行校核，将超出部分调出，用于支持其他未被调出县的高标准农田建设。确定各县（市、区）高标准农田建设任务后，按定额法进行资金分配。项目实施要符合《高标准农田建设通则》《农田建设项目管理办法》等要求。省级通过设置绩效目标、加强质量控制等方式督促各地按质按量按时完成相关任务目标。</w:t>
      </w:r>
    </w:p>
    <w:p w14:paraId="60CC9026">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三、实施耕地轮作休耕</w:t>
      </w:r>
    </w:p>
    <w:p w14:paraId="50005BEB">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统筹当前与长远、协调生产与生态、兼顾用地与养地</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进一步健全耕地轮作休耕制度。开展耕地轮作39万亩，结合工作实际，按照每亩30元的标准，统筹油菜扩种、耕地轮作休耕资金，对全省种植的</w:t>
      </w:r>
      <w:r>
        <w:rPr>
          <w:rFonts w:hint="default" w:ascii="Times New Roman" w:hAnsi="Times New Roman" w:eastAsia="方正仿宋_GBK" w:cs="Times New Roman"/>
          <w:color w:val="000000"/>
          <w:sz w:val="32"/>
          <w:szCs w:val="32"/>
          <w:lang w:val="en-US" w:eastAsia="zh-CN"/>
        </w:rPr>
        <w:t>427.64</w:t>
      </w:r>
      <w:r>
        <w:rPr>
          <w:rFonts w:hint="default" w:ascii="Times New Roman" w:hAnsi="Times New Roman" w:eastAsia="方正仿宋_GBK" w:cs="Times New Roman"/>
          <w:color w:val="000000"/>
          <w:sz w:val="32"/>
          <w:szCs w:val="32"/>
        </w:rPr>
        <w:t>万亩油菜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含油菜轮作39万亩</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给予补助，</w:t>
      </w:r>
      <w:r>
        <w:rPr>
          <w:rFonts w:hint="default" w:ascii="Times New Roman" w:hAnsi="Times New Roman" w:eastAsia="方正仿宋_GBK" w:cs="Times New Roman"/>
          <w:color w:val="000000"/>
          <w:sz w:val="32"/>
          <w:szCs w:val="32"/>
          <w:lang w:val="en-US" w:eastAsia="zh-CN"/>
        </w:rPr>
        <w:t>原则上进行物化补助，</w:t>
      </w:r>
      <w:r>
        <w:rPr>
          <w:rFonts w:hint="default" w:ascii="Times New Roman" w:hAnsi="Times New Roman" w:eastAsia="方正仿宋_GBK" w:cs="Times New Roman"/>
          <w:color w:val="000000"/>
          <w:sz w:val="32"/>
          <w:szCs w:val="32"/>
        </w:rPr>
        <w:t>补助资金主要用于支持良种、硼肥、统防统治、技术培训等环节。各地要综合考虑土地条件、作物茬口、气候条件等因素，推广</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稻谷+油菜</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玉米+油菜</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烟草+油菜</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等轮作模式，提升种植水平，降低病虫害发生，减少农药使用量，加快构建绿色种植制度，确保完成耕地轮作任务。基于我省耕地轮作休耕均为油菜轮作，对于油菜轮作补助中通过现金发放部分，通过</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一卡通</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管理平台</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扩种油菜补贴（现金补助）</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项目发放，各地农业农村部门要严格按照我省</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一卡通</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管理要求做好补贴兑付工作。</w:t>
      </w:r>
    </w:p>
    <w:p w14:paraId="1EE698E3">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lang w:eastAsia="zh-CN"/>
        </w:rPr>
        <w:t>四</w:t>
      </w:r>
      <w:r>
        <w:rPr>
          <w:rFonts w:hint="default" w:ascii="Times New Roman" w:hAnsi="Times New Roman" w:eastAsia="方正黑体_GBK" w:cs="Times New Roman"/>
          <w:color w:val="000000"/>
          <w:sz w:val="32"/>
          <w:szCs w:val="32"/>
        </w:rPr>
        <w:t>、推进耕地质量提升</w:t>
      </w:r>
    </w:p>
    <w:p w14:paraId="2749687C">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楷体_GBK" w:cs="Times New Roman"/>
          <w:color w:val="000000"/>
          <w:sz w:val="32"/>
          <w:szCs w:val="32"/>
          <w:lang w:val="en-US" w:eastAsia="zh-CN"/>
        </w:rPr>
        <w:t>（一）实施化肥减量增效项目。</w:t>
      </w:r>
      <w:r>
        <w:rPr>
          <w:rFonts w:hint="default" w:ascii="Times New Roman" w:hAnsi="Times New Roman" w:eastAsia="方正仿宋_GBK" w:cs="Times New Roman"/>
          <w:color w:val="000000"/>
          <w:sz w:val="32"/>
          <w:szCs w:val="32"/>
        </w:rPr>
        <w:t>夯实科学施肥增效基础性工作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集成推广施肥新产品、新技术、新机具</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聚焦重点区域开展整村整乡统测、统配、统供、统施服务</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highlight w:val="none"/>
        </w:rPr>
        <w:t>建设</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三新</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集成推进县12个</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rPr>
        <w:t>切实提升测土配方施肥的针对性和实用性</w:t>
      </w:r>
      <w:r>
        <w:rPr>
          <w:rFonts w:hint="default" w:ascii="Times New Roman" w:hAnsi="Times New Roman" w:eastAsia="方正仿宋_GBK" w:cs="Times New Roman"/>
          <w:color w:val="000000"/>
          <w:sz w:val="32"/>
          <w:szCs w:val="32"/>
          <w:lang w:eastAsia="zh-CN"/>
        </w:rPr>
        <w:t>；开展</w:t>
      </w:r>
      <w:r>
        <w:rPr>
          <w:rFonts w:hint="default" w:ascii="Times New Roman" w:hAnsi="Times New Roman" w:eastAsia="方正仿宋_GBK" w:cs="Times New Roman"/>
          <w:color w:val="000000"/>
          <w:sz w:val="32"/>
          <w:szCs w:val="32"/>
          <w:highlight w:val="none"/>
        </w:rPr>
        <w:t>三大粮食化肥利用率、</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lang w:eastAsia="zh-CN"/>
        </w:rPr>
        <w:t>三新</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lang w:eastAsia="zh-CN"/>
        </w:rPr>
        <w:t>试验</w:t>
      </w:r>
      <w:r>
        <w:rPr>
          <w:rFonts w:hint="default" w:ascii="Times New Roman" w:hAnsi="Times New Roman" w:eastAsia="方正仿宋_GBK" w:cs="Times New Roman"/>
          <w:color w:val="000000"/>
          <w:sz w:val="32"/>
          <w:szCs w:val="32"/>
          <w:highlight w:val="none"/>
        </w:rPr>
        <w:t>、肥效校正等田间试验260组，完成农户施肥情况调查10000户。</w:t>
      </w:r>
    </w:p>
    <w:p w14:paraId="7A571E09">
      <w:pPr>
        <w:keepNext w:val="0"/>
        <w:keepLines w:val="0"/>
        <w:pageBreakBefore w:val="0"/>
        <w:widowControl w:val="0"/>
        <w:numPr>
          <w:ilvl w:val="0"/>
          <w:numId w:val="0"/>
        </w:numPr>
        <w:kinsoku/>
        <w:wordWrap/>
        <w:overflowPunct/>
        <w:topLinePunct w:val="0"/>
        <w:autoSpaceDE/>
        <w:autoSpaceDN/>
        <w:bidi w:val="0"/>
        <w:snapToGrid/>
        <w:spacing w:line="630" w:lineRule="exact"/>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楷体_GBK" w:cs="Times New Roman"/>
          <w:color w:val="000000"/>
          <w:sz w:val="32"/>
          <w:szCs w:val="32"/>
          <w:lang w:eastAsia="zh-CN"/>
        </w:rPr>
        <w:t>（二）开展</w:t>
      </w:r>
      <w:r>
        <w:rPr>
          <w:rFonts w:hint="default" w:ascii="Times New Roman" w:hAnsi="Times New Roman" w:eastAsia="方正楷体_GBK" w:cs="Times New Roman"/>
          <w:color w:val="000000"/>
          <w:sz w:val="32"/>
          <w:szCs w:val="32"/>
        </w:rPr>
        <w:t>生产障碍耕地治理</w:t>
      </w:r>
      <w:r>
        <w:rPr>
          <w:rFonts w:hint="default" w:ascii="Times New Roman" w:hAnsi="Times New Roman" w:eastAsia="方正楷体_GBK" w:cs="Times New Roman"/>
          <w:color w:val="000000"/>
          <w:sz w:val="32"/>
          <w:szCs w:val="32"/>
          <w:lang w:eastAsia="zh-CN"/>
        </w:rPr>
        <w:t>。</w:t>
      </w:r>
      <w:r>
        <w:rPr>
          <w:rFonts w:hint="default" w:ascii="Times New Roman" w:hAnsi="Times New Roman" w:eastAsia="方正仿宋_GBK" w:cs="Times New Roman"/>
          <w:color w:val="000000"/>
          <w:sz w:val="32"/>
          <w:szCs w:val="32"/>
        </w:rPr>
        <w:t>在16个县（市、区）和5个州本级因地制宜落实受污染耕地安全利用措施，开展生产障碍耕地治理建设面积27万亩。对生产障碍耕地治理区域的项目实施情况开展项目效果评估，项目区域受污染耕地安全利用率≧93%。16个州（市）对严格管控类耕地食用农产品开展加密监测5957个。12个州（市）引进特定绿色优质水稻种植试验。开展耕地土壤污染防治。开展低积累品种筛选选育等。</w:t>
      </w:r>
    </w:p>
    <w:p w14:paraId="3EBB8DB7">
      <w:pPr>
        <w:pStyle w:val="6"/>
        <w:keepNext w:val="0"/>
        <w:keepLines w:val="0"/>
        <w:pageBreakBefore w:val="0"/>
        <w:widowControl w:val="0"/>
        <w:numPr>
          <w:ilvl w:val="0"/>
          <w:numId w:val="0"/>
        </w:numPr>
        <w:kinsoku/>
        <w:wordWrap/>
        <w:overflowPunct/>
        <w:topLinePunct w:val="0"/>
        <w:autoSpaceDE/>
        <w:autoSpaceDN/>
        <w:bidi w:val="0"/>
        <w:adjustRightInd/>
        <w:snapToGrid/>
        <w:spacing w:line="630" w:lineRule="exact"/>
        <w:ind w:leftChars="0" w:right="0" w:rightChars="0" w:firstLine="640" w:firstLineChars="200"/>
        <w:jc w:val="both"/>
        <w:textAlignment w:val="auto"/>
        <w:outlineLvl w:val="9"/>
        <w:rPr>
          <w:rFonts w:hint="default" w:ascii="Times New Roman" w:hAnsi="Times New Roman" w:eastAsia="方正仿宋_GBK" w:cs="Times New Roman"/>
          <w:b w:val="0"/>
          <w:bCs/>
          <w:color w:val="000000"/>
          <w:kern w:val="2"/>
          <w:sz w:val="32"/>
          <w:szCs w:val="32"/>
          <w:lang w:val="en-US" w:eastAsia="zh-CN" w:bidi="ar-SA"/>
        </w:rPr>
      </w:pPr>
      <w:bookmarkStart w:id="0" w:name="OLE_LINK7"/>
      <w:r>
        <w:rPr>
          <w:rFonts w:hint="default" w:ascii="Times New Roman" w:hAnsi="Times New Roman" w:eastAsia="方正楷体_GBK" w:cs="Times New Roman"/>
          <w:b w:val="0"/>
          <w:bCs w:val="0"/>
          <w:color w:val="000000"/>
          <w:sz w:val="32"/>
          <w:szCs w:val="32"/>
          <w:lang w:eastAsia="zh-CN"/>
        </w:rPr>
        <w:t>（三）开展第三次全国土壤普查。</w:t>
      </w:r>
      <w:bookmarkEnd w:id="0"/>
      <w:r>
        <w:rPr>
          <w:rFonts w:hint="default" w:ascii="Times New Roman" w:hAnsi="Times New Roman" w:eastAsia="方正仿宋_GBK" w:cs="Times New Roman"/>
          <w:b w:val="0"/>
          <w:bCs/>
          <w:color w:val="000000"/>
          <w:kern w:val="2"/>
          <w:sz w:val="32"/>
          <w:szCs w:val="32"/>
          <w:lang w:val="en-US" w:eastAsia="zh-CN" w:bidi="ar-SA"/>
        </w:rPr>
        <w:t>按照《国务院关于开展第三次全国土壤普查的通知》（国发〔2022〕4号）、《云南省人民政府关于开展云南省第三次全国土壤普查的通知》（云政发〔2022〕30号）等要求，省本级、州（市）、县（市、区）开展本年度第三次全国土壤普查成果编制（含全省耕地质量调查评价）。该项资金采取因素法分配资金。分配标准为基础因素20%、任务因素75%和脱贫地区因素5%，州（市）及县（市、区）资金下达州（市），由州（市）统筹分配。项目实施要符合《第三次全国土壤普查技术规程规范》（修订版）</w:t>
      </w:r>
      <w:r>
        <w:rPr>
          <w:rFonts w:hint="eastAsia" w:ascii="Times New Roman" w:hAnsi="Times New Roman" w:eastAsia="方正仿宋_GBK" w:cs="Times New Roman"/>
          <w:b w:val="0"/>
          <w:bCs/>
          <w:color w:val="000000"/>
          <w:kern w:val="2"/>
          <w:sz w:val="32"/>
          <w:szCs w:val="32"/>
          <w:lang w:val="en-US" w:eastAsia="zh-CN" w:bidi="ar-SA"/>
        </w:rPr>
        <w:t>、</w:t>
      </w:r>
      <w:r>
        <w:rPr>
          <w:rFonts w:hint="default" w:ascii="Times New Roman" w:hAnsi="Times New Roman" w:eastAsia="方正仿宋_GBK" w:cs="Times New Roman"/>
          <w:b w:val="0"/>
          <w:bCs/>
          <w:color w:val="000000"/>
          <w:kern w:val="2"/>
          <w:sz w:val="32"/>
          <w:szCs w:val="32"/>
          <w:lang w:val="en-US" w:eastAsia="zh-CN" w:bidi="ar-SA"/>
        </w:rPr>
        <w:t>《第三次全国土壤普查县级成果编制及验收导引》等要求</w:t>
      </w:r>
      <w:r>
        <w:rPr>
          <w:rFonts w:hint="default" w:ascii="Times New Roman" w:hAnsi="Times New Roman" w:eastAsia="方正仿宋_GBK" w:cs="Times New Roman"/>
          <w:color w:val="000000"/>
          <w:spacing w:val="1"/>
          <w:kern w:val="2"/>
          <w:sz w:val="32"/>
          <w:szCs w:val="32"/>
          <w:highlight w:val="none"/>
          <w:u w:val="none"/>
          <w:lang w:val="en-US" w:eastAsia="zh-CN" w:bidi="ar-SA"/>
        </w:rPr>
        <w:t>。省级通过</w:t>
      </w:r>
      <w:r>
        <w:rPr>
          <w:rFonts w:hint="default" w:ascii="Times New Roman" w:hAnsi="Times New Roman" w:eastAsia="方正仿宋_GBK" w:cs="Times New Roman"/>
          <w:b w:val="0"/>
          <w:bCs/>
          <w:color w:val="000000"/>
          <w:kern w:val="2"/>
          <w:sz w:val="32"/>
          <w:szCs w:val="32"/>
          <w:lang w:val="en-US" w:eastAsia="zh-CN" w:bidi="ar-SA"/>
        </w:rPr>
        <w:t>设置绩效目标、加强质量控制等方式督促各地按质按量按时完成相关任务目标。</w:t>
      </w:r>
    </w:p>
    <w:p w14:paraId="66C636C4">
      <w:pPr>
        <w:pStyle w:val="6"/>
        <w:keepNext w:val="0"/>
        <w:keepLines w:val="0"/>
        <w:pageBreakBefore w:val="0"/>
        <w:widowControl w:val="0"/>
        <w:numPr>
          <w:ilvl w:val="0"/>
          <w:numId w:val="0"/>
        </w:numPr>
        <w:kinsoku/>
        <w:wordWrap/>
        <w:overflowPunct/>
        <w:topLinePunct w:val="0"/>
        <w:autoSpaceDE/>
        <w:autoSpaceDN/>
        <w:bidi w:val="0"/>
        <w:adjustRightInd/>
        <w:snapToGrid/>
        <w:spacing w:line="630" w:lineRule="exact"/>
        <w:ind w:leftChars="0" w:right="0" w:rightChars="0" w:firstLine="640" w:firstLineChars="200"/>
        <w:jc w:val="both"/>
        <w:textAlignment w:val="auto"/>
        <w:outlineLvl w:val="9"/>
        <w:rPr>
          <w:rFonts w:hint="default" w:ascii="Times New Roman" w:hAnsi="Times New Roman" w:eastAsia="方正仿宋_GBK" w:cs="Times New Roman"/>
          <w:b w:val="0"/>
          <w:bCs/>
          <w:color w:val="000000"/>
          <w:kern w:val="2"/>
          <w:sz w:val="32"/>
          <w:szCs w:val="32"/>
          <w:lang w:val="en-US" w:eastAsia="zh-CN" w:bidi="ar-SA"/>
        </w:rPr>
      </w:pPr>
      <w:bookmarkStart w:id="1" w:name="OLE_LINK9"/>
      <w:r>
        <w:rPr>
          <w:rFonts w:hint="default" w:ascii="Times New Roman" w:hAnsi="Times New Roman" w:eastAsia="方正楷体_GBK" w:cs="Times New Roman"/>
          <w:b w:val="0"/>
          <w:bCs w:val="0"/>
          <w:color w:val="000000"/>
          <w:sz w:val="32"/>
          <w:szCs w:val="32"/>
          <w:lang w:val="en-US" w:eastAsia="zh-CN"/>
        </w:rPr>
        <w:t>（四）</w:t>
      </w:r>
      <w:bookmarkEnd w:id="1"/>
      <w:r>
        <w:rPr>
          <w:rFonts w:hint="default" w:ascii="Times New Roman" w:hAnsi="Times New Roman" w:eastAsia="方正楷体_GBK" w:cs="Times New Roman"/>
          <w:b w:val="0"/>
          <w:bCs w:val="0"/>
          <w:color w:val="000000"/>
          <w:sz w:val="32"/>
          <w:szCs w:val="32"/>
          <w:lang w:val="en-US" w:eastAsia="zh-CN"/>
        </w:rPr>
        <w:t>开展退化耕地治理。</w:t>
      </w:r>
      <w:r>
        <w:rPr>
          <w:rFonts w:hint="default" w:ascii="Times New Roman" w:hAnsi="Times New Roman" w:eastAsia="方正仿宋_GBK" w:cs="Times New Roman"/>
          <w:color w:val="000000"/>
          <w:sz w:val="32"/>
          <w:szCs w:val="32"/>
          <w:highlight w:val="none"/>
          <w:u w:val="none"/>
          <w:lang w:val="en-US" w:eastAsia="zh-CN"/>
        </w:rPr>
        <w:t>按照《农业农村部办公厅关于加强2024年酸化耕地治理重点建设工作的通知》（农办建〔2024〕5号）</w:t>
      </w:r>
      <w:r>
        <w:rPr>
          <w:rFonts w:hint="default" w:ascii="Times New Roman" w:hAnsi="Times New Roman" w:eastAsia="方正仿宋_GBK" w:cs="Times New Roman"/>
          <w:b w:val="0"/>
          <w:bCs/>
          <w:color w:val="000000"/>
          <w:kern w:val="2"/>
          <w:sz w:val="32"/>
          <w:szCs w:val="32"/>
          <w:lang w:val="en-US" w:eastAsia="zh-CN" w:bidi="ar-SA"/>
        </w:rPr>
        <w:t>，</w:t>
      </w:r>
      <w:r>
        <w:rPr>
          <w:rFonts w:hint="default" w:ascii="Times New Roman" w:hAnsi="Times New Roman" w:eastAsia="方正仿宋_GBK" w:cs="Times New Roman"/>
          <w:color w:val="000000"/>
          <w:sz w:val="32"/>
          <w:szCs w:val="32"/>
          <w:highlight w:val="none"/>
          <w:u w:val="none"/>
          <w:lang w:val="en-US" w:eastAsia="zh-CN"/>
        </w:rPr>
        <w:t>经过县级申报、省级审核推荐、部级评审比选等程序，确定景谷县被列入全国第二批酸化耕地治理重点县。</w:t>
      </w:r>
      <w:r>
        <w:rPr>
          <w:rFonts w:hint="default" w:ascii="Times New Roman" w:hAnsi="Times New Roman" w:eastAsia="方正仿宋_GBK" w:cs="Times New Roman"/>
          <w:b w:val="0"/>
          <w:bCs/>
          <w:color w:val="000000"/>
          <w:kern w:val="2"/>
          <w:sz w:val="32"/>
          <w:szCs w:val="32"/>
          <w:lang w:val="en-US" w:eastAsia="zh-CN" w:bidi="ar-SA"/>
        </w:rPr>
        <w:t>该项资金</w:t>
      </w:r>
      <w:r>
        <w:rPr>
          <w:rFonts w:hint="default" w:ascii="Times New Roman" w:hAnsi="Times New Roman" w:eastAsia="方正仿宋_GBK" w:cs="Times New Roman"/>
          <w:color w:val="000000"/>
          <w:sz w:val="32"/>
          <w:szCs w:val="32"/>
          <w:highlight w:val="none"/>
          <w:u w:val="none"/>
          <w:lang w:val="en-US" w:eastAsia="zh-CN"/>
        </w:rPr>
        <w:t>采取定额补助，下达景谷县</w:t>
      </w:r>
      <w:r>
        <w:rPr>
          <w:rFonts w:hint="default" w:ascii="Times New Roman" w:hAnsi="Times New Roman" w:eastAsia="方正仿宋_GBK" w:cs="Times New Roman"/>
          <w:b w:val="0"/>
          <w:bCs/>
          <w:color w:val="000000"/>
          <w:kern w:val="2"/>
          <w:sz w:val="32"/>
          <w:szCs w:val="32"/>
          <w:lang w:val="en-US" w:eastAsia="zh-CN" w:bidi="ar-SA"/>
        </w:rPr>
        <w:t>。项目实施要符合《农业农村部办公厅关于做好重点县酸化耕地治理的通知》（农办建</w:t>
      </w:r>
      <w:r>
        <w:rPr>
          <w:rFonts w:hint="default" w:ascii="Times New Roman" w:hAnsi="Times New Roman" w:eastAsia="方正仿宋_GBK" w:cs="Times New Roman"/>
          <w:color w:val="000000"/>
          <w:sz w:val="32"/>
          <w:szCs w:val="32"/>
          <w:highlight w:val="none"/>
          <w:u w:val="none"/>
          <w:lang w:val="en-US" w:eastAsia="zh-CN"/>
        </w:rPr>
        <w:t>〔2023〕6号</w:t>
      </w:r>
      <w:r>
        <w:rPr>
          <w:rFonts w:hint="default" w:ascii="Times New Roman" w:hAnsi="Times New Roman" w:eastAsia="方正仿宋_GBK" w:cs="Times New Roman"/>
          <w:b w:val="0"/>
          <w:bCs/>
          <w:color w:val="000000"/>
          <w:kern w:val="2"/>
          <w:sz w:val="32"/>
          <w:szCs w:val="32"/>
          <w:lang w:val="en-US" w:eastAsia="zh-CN" w:bidi="ar-SA"/>
        </w:rPr>
        <w:t>）等要求</w:t>
      </w:r>
      <w:r>
        <w:rPr>
          <w:rFonts w:hint="default" w:ascii="Times New Roman" w:hAnsi="Times New Roman" w:eastAsia="方正仿宋_GBK" w:cs="Times New Roman"/>
          <w:color w:val="000000"/>
          <w:spacing w:val="1"/>
          <w:kern w:val="2"/>
          <w:sz w:val="32"/>
          <w:szCs w:val="32"/>
          <w:highlight w:val="none"/>
          <w:u w:val="none"/>
          <w:lang w:val="en-US" w:eastAsia="zh-CN" w:bidi="ar-SA"/>
        </w:rPr>
        <w:t>。省级通过</w:t>
      </w:r>
      <w:r>
        <w:rPr>
          <w:rFonts w:hint="default" w:ascii="Times New Roman" w:hAnsi="Times New Roman" w:eastAsia="方正仿宋_GBK" w:cs="Times New Roman"/>
          <w:b w:val="0"/>
          <w:bCs/>
          <w:color w:val="000000"/>
          <w:kern w:val="2"/>
          <w:sz w:val="32"/>
          <w:szCs w:val="32"/>
          <w:lang w:val="en-US" w:eastAsia="zh-CN" w:bidi="ar-SA"/>
        </w:rPr>
        <w:t>加强监督指导等方式督促景谷县按质按量按时完成年度任务目标。</w:t>
      </w:r>
    </w:p>
    <w:p w14:paraId="6FA17EA1">
      <w:pPr>
        <w:keepNext w:val="0"/>
        <w:keepLines w:val="0"/>
        <w:pageBreakBefore w:val="0"/>
        <w:kinsoku/>
        <w:wordWrap/>
        <w:overflowPunct/>
        <w:topLinePunct w:val="0"/>
        <w:bidi w:val="0"/>
        <w:snapToGrid/>
        <w:spacing w:line="630" w:lineRule="exact"/>
        <w:ind w:firstLine="640" w:firstLineChars="200"/>
        <w:rPr>
          <w:rFonts w:hint="default" w:ascii="Times New Roman" w:hAnsi="Times New Roman" w:eastAsia="方正仿宋_GBK" w:cs="Times New Roman"/>
          <w:color w:val="000000"/>
          <w:kern w:val="2"/>
          <w:sz w:val="32"/>
          <w:szCs w:val="32"/>
          <w:highlight w:val="none"/>
          <w:u w:val="none"/>
          <w:lang w:val="en-US" w:eastAsia="zh-CN" w:bidi="ar-SA"/>
        </w:rPr>
      </w:pPr>
      <w:bookmarkStart w:id="2" w:name="OLE_LINK8"/>
      <w:r>
        <w:rPr>
          <w:rFonts w:hint="default" w:ascii="Times New Roman" w:hAnsi="Times New Roman" w:eastAsia="方正楷体_GBK" w:cs="Times New Roman"/>
          <w:b w:val="0"/>
          <w:bCs w:val="0"/>
          <w:color w:val="000000"/>
          <w:sz w:val="32"/>
          <w:szCs w:val="32"/>
          <w:lang w:val="en-US" w:eastAsia="zh-CN"/>
        </w:rPr>
        <w:t>（五）开展二轮延包。</w:t>
      </w:r>
      <w:bookmarkEnd w:id="2"/>
      <w:r>
        <w:rPr>
          <w:rFonts w:hint="default" w:ascii="Times New Roman" w:hAnsi="Times New Roman" w:eastAsia="方正仿宋_GBK" w:cs="Times New Roman"/>
          <w:color w:val="000000"/>
          <w:kern w:val="2"/>
          <w:sz w:val="32"/>
          <w:szCs w:val="32"/>
          <w:highlight w:val="none"/>
          <w:u w:val="none"/>
          <w:lang w:val="en-US" w:eastAsia="zh-CN" w:bidi="ar-SA"/>
        </w:rPr>
        <w:t>根据各地第二轮土地承包到期情况，支持2020—2025年中央农村工作领导小组办公室、农业农村部和省农业农村厅批复的15个县（市、区），开展基础信息摸底核实、承包信息变更、承包合同网签、档案规范化管理等相关工作。支持2026年拟申报开展第二轮土地承包到期后再延长30年试点的29个县（市、区）开展基础信息摸底核实等前期工作，县</w:t>
      </w:r>
      <w:r>
        <w:rPr>
          <w:rFonts w:hint="eastAsia" w:ascii="Times New Roman" w:hAnsi="Times New Roman" w:eastAsia="方正仿宋_GBK" w:cs="Times New Roman"/>
          <w:color w:val="000000"/>
          <w:kern w:val="2"/>
          <w:sz w:val="32"/>
          <w:szCs w:val="32"/>
          <w:highlight w:val="none"/>
          <w:u w:val="none"/>
          <w:lang w:val="en-US" w:eastAsia="zh-CN" w:bidi="ar-SA"/>
        </w:rPr>
        <w:t>（市、区）</w:t>
      </w:r>
      <w:r>
        <w:rPr>
          <w:rFonts w:hint="default" w:ascii="Times New Roman" w:hAnsi="Times New Roman" w:eastAsia="方正仿宋_GBK" w:cs="Times New Roman"/>
          <w:color w:val="000000"/>
          <w:kern w:val="2"/>
          <w:sz w:val="32"/>
          <w:szCs w:val="32"/>
          <w:highlight w:val="none"/>
          <w:u w:val="none"/>
          <w:lang w:val="en-US" w:eastAsia="zh-CN" w:bidi="ar-SA"/>
        </w:rPr>
        <w:t>农业农村部门要根据本地实际细化制定项目实施方案，州（市）农业农村部门要加强绩效监控，及时掌握工作进度和资金使用情况，确保项目任务按批复的试点实施方案如期完成。</w:t>
      </w:r>
    </w:p>
    <w:p w14:paraId="33AAFF06">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color w:val="000000"/>
          <w:sz w:val="32"/>
          <w:szCs w:val="32"/>
        </w:rPr>
        <w:sectPr>
          <w:footerReference r:id="rId3" w:type="default"/>
          <w:pgSz w:w="11906" w:h="16838"/>
          <w:pgMar w:top="2098" w:right="1587" w:bottom="2041" w:left="1587" w:header="851" w:footer="1587" w:gutter="0"/>
          <w:pgNumType w:fmt="decimal"/>
          <w:cols w:space="720" w:num="1"/>
          <w:rtlGutter w:val="0"/>
          <w:docGrid w:type="lines" w:linePitch="437" w:charSpace="0"/>
        </w:sectPr>
      </w:pPr>
    </w:p>
    <w:p w14:paraId="3D9D8A77">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方正黑体_GBK">
    <w:panose1 w:val="0201060001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69C0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386F42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path/>
              <v:fill on="f" focussize="0,0"/>
              <v:stroke on="f" weight="0.5pt"/>
              <v:imagedata o:title=""/>
              <o:lock v:ext="edit" aspectratio="f"/>
              <v:textbox inset="0mm,0mm,0mm,0mm" style="mso-fit-shape-to-text:t;">
                <w:txbxContent>
                  <w:p w14:paraId="7386F42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E0103"/>
    <w:rsid w:val="3A5E0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snapToGrid w:val="0"/>
      <w:spacing w:line="300" w:lineRule="auto"/>
      <w:ind w:firstLine="556"/>
    </w:pPr>
    <w:rPr>
      <w:rFonts w:ascii="??_GB2312" w:eastAsia="Times New Roman" w:cs="??_GB2312"/>
      <w:kern w:val="0"/>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列出段落1"/>
    <w:basedOn w:val="1"/>
    <w:qFormat/>
    <w:uiPriority w:val="0"/>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6</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2025-07-01T02:06:00Z</dcterms:created>
  <dc:creator>莫语</dc:creator>
  <cp:lastModifiedBy>莫语</cp:lastModifiedBy>
  <dcterms:modified xsi:type="dcterms:W3CDTF">2025-07-01T02:06:11Z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E9DB787FB9CB4A2D9070695377DB8505_11</vt:lpwstr>
  </property>
  <property fmtid="{D5CDD505-2E9C-101B-9397-08002B2CF9AE}" pid="4" name="KSOTemplateDocerSaveRecord">
    <vt:lpwstr>eyJoZGlkIjoiOWYzOGRiNDNiM2UxMzI1NzY2YjQ2MDA1ODRkNTQzY2YiLCJ1c2VySWQiOiIzNDA1ODU0MDcifQ==</vt:lpwstr>
  </property>
</Properties>
</file>