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9CC83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30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1</w:t>
      </w:r>
    </w:p>
    <w:p w14:paraId="1B2B885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30" w:lineRule="exact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 w14:paraId="70EE2FA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contextualSpacing/>
        <w:jc w:val="center"/>
        <w:rPr>
          <w:rFonts w:hint="default" w:ascii="Times New Roman" w:hAnsi="Times New Roman" w:eastAsia="方正小标宋_GBK" w:cs="Times New Roman"/>
          <w:b w:val="0"/>
          <w:bCs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000000"/>
          <w:sz w:val="44"/>
          <w:szCs w:val="44"/>
        </w:rPr>
        <w:t>粮油生产保障资金项目实施</w:t>
      </w:r>
      <w:r>
        <w:rPr>
          <w:rFonts w:hint="default" w:ascii="Times New Roman" w:hAnsi="Times New Roman" w:eastAsia="方正小标宋_GBK" w:cs="Times New Roman"/>
          <w:b w:val="0"/>
          <w:bCs/>
          <w:color w:val="000000"/>
          <w:sz w:val="44"/>
          <w:szCs w:val="44"/>
          <w:lang w:eastAsia="zh-CN"/>
        </w:rPr>
        <w:t>方案</w:t>
      </w:r>
    </w:p>
    <w:p w14:paraId="5FA4576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630" w:lineRule="exact"/>
        <w:ind w:firstLine="640" w:firstLineChars="200"/>
        <w:contextualSpacing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44A1F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一、实施小麦</w:t>
      </w: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一喷三防</w:t>
      </w: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补助</w:t>
      </w:r>
    </w:p>
    <w:p w14:paraId="14815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支持主产区小麦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等小春粮油作物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生产中混合使用的杀虫剂、杀菌剂、植物生长调节剂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以达到病虫害综合防控，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促进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小麦等粮油作物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增粒重、提单产。各地要因地制宜制定实施方案，合理确定补助标准，加强喷防作业组织指导，发挥社会化服务组织、新型农业经营主体等作用，大力推行统防统治，提高喷防效果。强化项目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申报程序合理，加强项目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组织实施监管，严格落实公开公示等程序；发挥农户的监督作用，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严格对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作业面积、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作业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质量以及资金兑付的抽查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核实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，严防发生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空飞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eastAsia="zh-CN"/>
        </w:rPr>
        <w:t>等骗补套补违法违规行为，确保政策落实到位。</w:t>
      </w:r>
    </w:p>
    <w:p w14:paraId="6932E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二、支持油菜生产</w:t>
      </w:r>
    </w:p>
    <w:p w14:paraId="314A7B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进一步挖掘油菜扩种潜力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支持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各地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通过开发冬闲田、提高复种指数发展冬油菜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支持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有条件的地区发展夏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油菜。原则上坚持先种后补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，按照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30元/亩的标准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统筹油菜扩种、耕地轮作休耕资金，对全省种植的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427.64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万亩油菜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含油菜轮作39万亩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给予补助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原则上进行物资补助，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补助资金主要用于支持良种、硼肥、统防统治、技术培训等环节。</w:t>
      </w:r>
      <w:r>
        <w:rPr>
          <w:rFonts w:hint="eastAsia" w:ascii="Times New Roman" w:hAnsi="Times New Roman" w:eastAsia="方正仿宋_GBK" w:cs="Times New Roman"/>
          <w:color w:val="000000"/>
          <w:lang w:eastAsia="zh-CN"/>
        </w:rPr>
        <w:t>扩种油菜补贴（现金补助）</w:t>
      </w:r>
      <w:r>
        <w:rPr>
          <w:rFonts w:hint="default" w:ascii="Times New Roman" w:hAnsi="Times New Roman" w:eastAsia="方正仿宋_GBK" w:cs="Times New Roman"/>
          <w:color w:val="000000"/>
        </w:rPr>
        <w:t>纳入</w:t>
      </w:r>
      <w:r>
        <w:rPr>
          <w:rFonts w:hint="eastAsia" w:ascii="Times New Roman" w:hAnsi="Times New Roman" w:eastAsia="方正仿宋_GBK" w:cs="Times New Roman"/>
          <w:color w:val="000000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000000"/>
        </w:rPr>
        <w:t>一卡通</w:t>
      </w:r>
      <w:r>
        <w:rPr>
          <w:rFonts w:hint="eastAsia" w:ascii="Times New Roman" w:hAnsi="Times New Roman" w:eastAsia="方正仿宋_GBK" w:cs="Times New Roman"/>
          <w:color w:val="000000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000000"/>
        </w:rPr>
        <w:t>管理发放，各地农业农村部门要严格按照我省</w:t>
      </w:r>
      <w:r>
        <w:rPr>
          <w:rFonts w:hint="eastAsia" w:ascii="Times New Roman" w:hAnsi="Times New Roman" w:eastAsia="方正仿宋_GBK" w:cs="Times New Roman"/>
          <w:color w:val="000000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000000"/>
        </w:rPr>
        <w:t>一卡通</w:t>
      </w:r>
      <w:r>
        <w:rPr>
          <w:rFonts w:hint="eastAsia" w:ascii="Times New Roman" w:hAnsi="Times New Roman" w:eastAsia="方正仿宋_GBK" w:cs="Times New Roman"/>
          <w:color w:val="000000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000000"/>
        </w:rPr>
        <w:t>管理要求做好补贴兑付工作。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同一地块不能同时享受扩种油菜支持政策和轮作支持政策。</w:t>
      </w:r>
    </w:p>
    <w:p w14:paraId="7B394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三、推广大豆玉米带状复合种植</w:t>
      </w:r>
    </w:p>
    <w:p w14:paraId="325DF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bookmarkStart w:id="0" w:name="OLE_LINK5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各地要</w:t>
      </w:r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结合生产实际，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坚持因地制宜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的原则，开展大豆玉米带状复合种植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。省级统筹中央和省级资金，按照200元/亩的标准（中央资金150元/亩、省级资金配套50元/亩），对全省70万亩大豆玉米带状复合种植任务进行补助。原则上进行物化补助，资金主要用于三个方面：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32"/>
        </w:rPr>
        <w:t>一是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对示范推广大豆玉米带状复合种植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需要的种子、肥料、农药、农膜、节水设施设备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等物化投入进行补助。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32"/>
        </w:rPr>
        <w:t>二是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对购买病虫草鼠害绿色防控、耕种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收获机械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化作业等社会化服务进行补助。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32"/>
        </w:rPr>
        <w:t>三是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技术培训、指导服务补助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。各地要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进一步优化种植区域、品种选择、行比模式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加快技术本土化、熟化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确保完成大豆玉米带状复合种植任务。</w:t>
      </w:r>
    </w:p>
    <w:p w14:paraId="3F8B9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四、</w:t>
      </w:r>
      <w:bookmarkStart w:id="1" w:name="OLE_LINK4"/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实施粮油等重点作物绿色高产高效行动</w:t>
      </w:r>
    </w:p>
    <w:bookmarkEnd w:id="1"/>
    <w:p w14:paraId="4B931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  <w:lang w:val="en-US" w:eastAsia="zh-CN"/>
        </w:rPr>
      </w:pPr>
      <w:bookmarkStart w:id="2" w:name="OLE_LINK6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lang w:val="en-US" w:eastAsia="zh-CN"/>
        </w:rPr>
        <w:t>（一）实施粮油等重点作物绿色高产高效行动（粮油）</w:t>
      </w:r>
    </w:p>
    <w:bookmarkEnd w:id="2"/>
    <w:p w14:paraId="6113B49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3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以玉米、大豆、小麦、油菜、水稻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、马铃薯、甘蔗、蚕桑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单产提升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部级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整建制推进县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、省级提升县和乡镇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为重点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整建制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、大面积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推进粮油等重点作物绿色高产高效行动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加快良田、良种、良法、良机系统集成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重点围绕合理密植、精细整地、精准播种、水肥高效利用等关键增产措施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因地制宜组装综合技术方案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加强新品种、新技术、新装备应用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构建周年协同高产模式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辐射带动大面积均衡增产和效益提升。</w:t>
      </w:r>
    </w:p>
    <w:p w14:paraId="19A6C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lang w:val="en-US" w:eastAsia="zh-CN"/>
        </w:rPr>
        <w:t>（二）实施粮油等重点作物绿色高产高效行动（菜药）</w:t>
      </w:r>
    </w:p>
    <w:p w14:paraId="5B5851BD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3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围绕蔬菜和中药材等高原特色重点产业，按照绿色高产高效规模、绿色高产高效技术集成应用等的实际完成情况，支持楚雄州元谋县和腾冲市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" w:eastAsia="zh-CN"/>
        </w:rPr>
        <w:t>开展粮油等重点作物绿色高产高效（菜药）发展。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重点支持绿色高产高效生产管理措施技术先进，研发创新有潜力，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" w:eastAsia="zh-CN"/>
        </w:rPr>
        <w:t>产业基础强，特色鲜明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，品牌培育能力强，示范带动性好的县级及以上龙头企业，以及农民专业合作社和家庭农场和其他新型经营主体。建设2个重点作物绿色高产高效创建县，实现蔬菜和中药材绿色高质高效发展。其中：元谋县和腾冲市完成4000亩蔬菜和中药材绿色高产高效种植面积，集成推广绿色高质高效模式2套，蔬菜和中药材重点作物绿色高产高效项目节本增效水平提高5%以上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各地要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及时分解目标任务，确定支持项目，并制定具体实施方案；定期动态跟踪绩效运行监控，及时开展现场调研、培训等服务，阶段性梳理和整理项目执行情况，及时发现并纠正实施过程存在的问题，确保绩效如期实现；认真对组织领导、制度建设、资金拨付、档案留存、项目验收等项目管理情况，以及绩效自评和结果应用开展督导检查，挖掘典型经验做法开展宣传推介。</w:t>
      </w:r>
    </w:p>
    <w:p w14:paraId="33421AA7"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E20D1"/>
    <w:rsid w:val="637E2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2025-07-01T02:05:00Z</dcterms:created>
  <dc:creator>莫语</dc:creator>
  <cp:lastModifiedBy>莫语</cp:lastModifiedBy>
  <dcterms:modified xsi:type="dcterms:W3CDTF">2025-07-01T02:05:52Z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4A5F73549BF24E97B14A92E6B091F1CD_11</vt:lpwstr>
  </property>
  <property fmtid="{D5CDD505-2E9C-101B-9397-08002B2CF9AE}" pid="4" name="KSOTemplateDocerSaveRecord">
    <vt:lpwstr>eyJoZGlkIjoiOWYzOGRiNDNiM2UxMzI1NzY2YjQ2MDA1ODRkNTQzY2YiLCJ1c2VySWQiOiIzNDA1ODU0MDcifQ==</vt:lpwstr>
  </property>
</Properties>
</file>